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wrap="around"/>
      </w:pPr>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rPr>
          <w:rFonts w:hint="eastAsia"/>
        </w:rPr>
        <w:t>71.100.70</w:t>
      </w:r>
      <w:r>
        <w:fldChar w:fldCharType="end"/>
      </w:r>
      <w:bookmarkEnd w:id="0"/>
    </w:p>
    <w:p>
      <w:pPr>
        <w:pStyle w:val="119"/>
        <w:framePr w:wrap="around"/>
      </w:pPr>
      <w:r>
        <w:fldChar w:fldCharType="begin">
          <w:ffData>
            <w:name w:val="WXFLH"/>
            <w:enabled/>
            <w:calcOnExit w:val="0"/>
            <w:helpText w:type="text" w:val="请输入中国标准文献分类号："/>
            <w:textInput>
              <w:default w:val="点击此处添加中国标准文献分类号"/>
            </w:textInput>
          </w:ffData>
        </w:fldChar>
      </w:r>
      <w:bookmarkStart w:id="1" w:name="WXFLH"/>
      <w:r>
        <w:instrText xml:space="preserve"> FORMTEXT </w:instrText>
      </w:r>
      <w:r>
        <w:fldChar w:fldCharType="separate"/>
      </w:r>
      <w:r>
        <w:rPr>
          <w:rFonts w:hint="eastAsia"/>
        </w:rPr>
        <w:t>Y 42</w:t>
      </w:r>
      <w:r>
        <w:fldChar w:fldCharType="end"/>
      </w:r>
      <w:bookmarkEnd w:id="1"/>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9"/>
              <w:framePr w:wrap="around"/>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17773150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Iri/s1QAAAAcBAAAPAAAAAAAA&#10;AAEAIAAAACIAAABkcnMvZG93bnJldi54bWxQSwECFAAUAAAACACHTuJA44tCjxUCAAAoBAAADgAA&#10;AAAAAAABACAAAAAkAQAAZHJzL2Uyb0RvYy54bWxQSwUGAAAAAAYABgBZAQAAqwU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62"/>
        <w:framePr w:wrap="around"/>
      </w:pPr>
      <w:r>
        <w:fldChar w:fldCharType="begin">
          <w:ffData>
            <w:name w:val="c1"/>
            <w:enabled/>
            <w:calcOnExit w:val="0"/>
            <w:textInput>
              <w:maxLength w:val="2"/>
            </w:textInput>
          </w:ffData>
        </w:fldChar>
      </w:r>
      <w:bookmarkStart w:id="3" w:name="c1"/>
      <w:r>
        <w:instrText xml:space="preserve"> FORMTEXT </w:instrText>
      </w:r>
      <w:r>
        <w:fldChar w:fldCharType="separate"/>
      </w:r>
      <w:r>
        <w:rPr>
          <w:rFonts w:hint="eastAsia"/>
        </w:rPr>
        <w:t>QB</w:t>
      </w:r>
      <w:r>
        <w:fldChar w:fldCharType="end"/>
      </w:r>
      <w:bookmarkEnd w:id="3"/>
    </w:p>
    <w:p>
      <w:pPr>
        <w:pStyle w:val="106"/>
        <w:framePr w:wrap="around"/>
        <w:rPr>
          <w:rFonts w:hint="eastAsia"/>
        </w:rPr>
      </w:pPr>
      <w:r>
        <w:rPr>
          <w:rFonts w:hint="eastAsia"/>
        </w:rPr>
        <w:t>中华人民共和国</w:t>
      </w:r>
      <w:r>
        <w:fldChar w:fldCharType="begin">
          <w:ffData>
            <w:name w:val="c2"/>
            <w:enabled/>
            <w:calcOnExit w:val="0"/>
            <w:textInput/>
          </w:ffData>
        </w:fldChar>
      </w:r>
      <w:bookmarkStart w:id="4" w:name="c2"/>
      <w:r>
        <w:instrText xml:space="preserve"> FORMTEXT </w:instrText>
      </w:r>
      <w:r>
        <w:fldChar w:fldCharType="separate"/>
      </w:r>
      <w:r>
        <w:rPr>
          <w:rFonts w:hint="eastAsia"/>
        </w:rPr>
        <w:t>轻工</w:t>
      </w:r>
      <w:r>
        <w:fldChar w:fldCharType="end"/>
      </w:r>
      <w:bookmarkEnd w:id="4"/>
      <w:r>
        <w:rPr>
          <w:rFonts w:hint="eastAsia"/>
        </w:rPr>
        <w:t>行业标准</w:t>
      </w:r>
    </w:p>
    <w:p>
      <w:pPr>
        <w:pStyle w:val="43"/>
        <w:framePr w:wrap="around"/>
        <w:rPr>
          <w:rFonts w:hint="eastAsia" w:hAnsi="黑体"/>
        </w:rPr>
      </w:pPr>
      <w:r>
        <w:rPr>
          <w:rFonts w:ascii="Times New Roman"/>
        </w:rPr>
        <w:fldChar w:fldCharType="begin">
          <w:ffData>
            <w:name w:val="StdNo0"/>
            <w:enabled/>
            <w:calcOnExit w:val="0"/>
            <w:textInput>
              <w:default w:val="XX"/>
              <w:maxLength w:val="2"/>
            </w:textInput>
          </w:ffData>
        </w:fldChar>
      </w:r>
      <w:bookmarkStart w:id="5" w:name="StdNo0"/>
      <w:r>
        <w:rPr>
          <w:rFonts w:ascii="Times New Roman"/>
        </w:rPr>
        <w:instrText xml:space="preserve"> FORMTEXT </w:instrText>
      </w:r>
      <w:r>
        <w:rPr>
          <w:rFonts w:ascii="Times New Roman"/>
        </w:rPr>
        <w:fldChar w:fldCharType="separate"/>
      </w:r>
      <w:r>
        <w:rPr>
          <w:rFonts w:hint="eastAsia" w:ascii="Times New Roman"/>
        </w:rPr>
        <w:t>QB</w:t>
      </w:r>
      <w:r>
        <w:rPr>
          <w:rFonts w:ascii="Times New Roman"/>
        </w:rPr>
        <w:fldChar w:fldCharType="end"/>
      </w:r>
      <w:bookmarkEnd w:id="5"/>
      <w:r>
        <w:rPr>
          <w:rFonts w:ascii="Times New Roman"/>
        </w:rPr>
        <w:t xml:space="preserve">/T </w:t>
      </w:r>
      <w:r>
        <w:rPr>
          <w:rFonts w:hint="eastAsia" w:hAnsi="黑体"/>
        </w:rPr>
        <w:fldChar w:fldCharType="begin">
          <w:ffData>
            <w:name w:val="StdNo1"/>
            <w:enabled/>
            <w:calcOnExit w:val="0"/>
            <w:textInput>
              <w:default w:val="XXXXX"/>
            </w:textInput>
          </w:ffData>
        </w:fldChar>
      </w:r>
      <w:bookmarkStart w:id="6" w:name="StdNo1"/>
      <w:r>
        <w:rPr>
          <w:rFonts w:hint="eastAsia" w:hAnsi="黑体"/>
        </w:rPr>
        <w:instrText xml:space="preserve"> FORMTEXT </w:instrText>
      </w:r>
      <w:r>
        <w:rPr>
          <w:rFonts w:hint="eastAsia" w:hAnsi="黑体"/>
        </w:rPr>
        <w:fldChar w:fldCharType="separate"/>
      </w:r>
      <w:r>
        <w:rPr>
          <w:rFonts w:hint="eastAsia" w:hAnsi="黑体"/>
        </w:rPr>
        <w:t>XXXXX</w:t>
      </w:r>
      <w:r>
        <w:rPr>
          <w:rFonts w:hint="eastAsia" w:hAnsi="黑体"/>
        </w:rPr>
        <w:fldChar w:fldCharType="end"/>
      </w:r>
      <w:bookmarkEnd w:id="6"/>
      <w:r>
        <w:rPr>
          <w:rFonts w:hint="eastAsia" w:hAnsi="黑体"/>
        </w:rPr>
        <w:t>—</w:t>
      </w:r>
      <w:r>
        <w:rPr>
          <w:rFonts w:hint="eastAsia" w:hAnsi="黑体"/>
        </w:rPr>
        <w:fldChar w:fldCharType="begin">
          <w:ffData>
            <w:name w:val="StdNo2"/>
            <w:enabled/>
            <w:calcOnExit w:val="0"/>
            <w:textInput>
              <w:default w:val="XXXX"/>
              <w:maxLength w:val="4"/>
            </w:textInput>
          </w:ffData>
        </w:fldChar>
      </w:r>
      <w:bookmarkStart w:id="7" w:name="StdNo2"/>
      <w:r>
        <w:rPr>
          <w:rFonts w:hint="eastAsia" w:hAnsi="黑体"/>
        </w:rPr>
        <w:instrText xml:space="preserve"> FORMTEXT </w:instrText>
      </w:r>
      <w:r>
        <w:rPr>
          <w:rFonts w:hint="eastAsia" w:hAnsi="黑体"/>
        </w:rPr>
        <w:fldChar w:fldCharType="separate"/>
      </w:r>
      <w:r>
        <w:rPr>
          <w:rFonts w:hint="eastAsia" w:hAnsi="黑体"/>
        </w:rPr>
        <w:t>XXXX</w:t>
      </w:r>
      <w:r>
        <w:rPr>
          <w:rFonts w:hint="eastAsia" w:hAnsi="黑体"/>
        </w:rPr>
        <w:fldChar w:fldCharType="end"/>
      </w:r>
      <w:bookmarkEnd w:id="7"/>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framePr w:wrap="around"/>
            </w:pPr>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1871434693"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eYPLL1gAAAAgBAAAPAAAAAAAAAAEA&#10;IAAAACIAAABkcnMvZG93bnJldi54bWxQSwECFAAUAAAACACHTuJALmKz2RECAAApBAAADgAAAAAA&#10;AAABACAAAAAlAQAAZHJzL2Uyb0RvYy54bWxQSwUGAAAAAAYABgBZAQAAqAUAAAAA&#10;">
                      <v:fill on="t" focussize="0,0"/>
                      <v:stroke on="f"/>
                      <v:imagedata o:title=""/>
                      <o:lock v:ext="edit" aspectratio="f"/>
                    </v:rect>
                  </w:pict>
                </mc:Fallback>
              </mc:AlternateContent>
            </w:r>
            <w:r>
              <w:rPr>
                <w:rFonts w:hint="eastAsia"/>
              </w:rPr>
              <w:fldChar w:fldCharType="begin">
                <w:ffData>
                  <w:name w:val="DT"/>
                  <w:enabled/>
                  <w:calcOnExit w:val="0"/>
                  <w:textInput/>
                </w:ffData>
              </w:fldChar>
            </w:r>
            <w:bookmarkStart w:id="8" w:name="DT"/>
            <w:r>
              <w:rPr>
                <w:rFonts w:hint="eastAsia"/>
              </w:rPr>
              <w:instrText xml:space="preserve"> FORMTEXT </w:instrText>
            </w:r>
            <w:r>
              <w:rPr>
                <w:rFonts w:hint="eastAsia"/>
              </w:rPr>
              <w:fldChar w:fldCharType="separate"/>
            </w:r>
            <w:r>
              <w:t>     </w:t>
            </w:r>
            <w:r>
              <w:rPr>
                <w:rFonts w:hint="eastAsia"/>
              </w:rPr>
              <w:fldChar w:fldCharType="end"/>
            </w:r>
            <w:bookmarkEnd w:id="8"/>
          </w:p>
        </w:tc>
      </w:tr>
    </w:tbl>
    <w:p>
      <w:pPr>
        <w:pStyle w:val="43"/>
        <w:framePr w:wrap="around"/>
        <w:rPr>
          <w:rFonts w:hint="eastAsia" w:hAnsi="黑体"/>
        </w:rPr>
      </w:pPr>
    </w:p>
    <w:p>
      <w:pPr>
        <w:pStyle w:val="43"/>
        <w:framePr w:wrap="around"/>
        <w:rPr>
          <w:rFonts w:hint="eastAsia" w:hAnsi="黑体"/>
        </w:rPr>
      </w:pPr>
    </w:p>
    <w:p>
      <w:pPr>
        <w:pStyle w:val="74"/>
        <w:framePr w:wrap="around"/>
        <w:spacing w:before="156" w:after="156"/>
      </w:pPr>
      <w:r>
        <w:rPr>
          <w:rFonts w:hint="eastAsia"/>
        </w:rPr>
        <w:t>化妆品用氯化钠</w:t>
      </w:r>
    </w:p>
    <w:p>
      <w:pPr>
        <w:pStyle w:val="75"/>
        <w:framePr w:wrap="around"/>
      </w:pPr>
      <w:r>
        <w:fldChar w:fldCharType="begin">
          <w:ffData>
            <w:name w:val="StdEnglishName"/>
            <w:enabled/>
            <w:calcOnExit w:val="0"/>
            <w:textInput>
              <w:default w:val="点击此处添加标准英文译名"/>
            </w:textInput>
          </w:ffData>
        </w:fldChar>
      </w:r>
      <w:bookmarkStart w:id="9" w:name="StdEnglishName"/>
      <w:r>
        <w:instrText xml:space="preserve"> FORMTEXT </w:instrText>
      </w:r>
      <w:r>
        <w:fldChar w:fldCharType="separate"/>
      </w:r>
      <w:r>
        <w:rPr>
          <w:rFonts w:hint="eastAsia"/>
        </w:rPr>
        <w:t>Sodium chloride for cosmetic use</w:t>
      </w:r>
      <w:r>
        <w:fldChar w:fldCharType="end"/>
      </w:r>
      <w:bookmarkEnd w:id="9"/>
    </w:p>
    <w:p>
      <w:pPr>
        <w:pStyle w:val="76"/>
        <w:framePr w:wrap="around"/>
      </w:pPr>
      <w:r>
        <w:fldChar w:fldCharType="begin">
          <w:ffData>
            <w:name w:val="YZBS"/>
            <w:enabled/>
            <w:calcOnExit w:val="0"/>
            <w:textInput>
              <w:default w:val="点击此处添加与国际标准一致性程度的标识"/>
            </w:textInput>
          </w:ffData>
        </w:fldChar>
      </w:r>
      <w:bookmarkStart w:id="10" w:name="YZBS"/>
      <w:r>
        <w:instrText xml:space="preserve"> FORMTEXT </w:instrText>
      </w:r>
      <w:r>
        <w:fldChar w:fldCharType="separate"/>
      </w:r>
      <w:r>
        <w:t>     </w:t>
      </w:r>
      <w:r>
        <w:fldChar w:fldCharType="end"/>
      </w:r>
      <w:bookmarkEnd w:id="10"/>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wrap="around"/>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3810" r="3175" b="0"/>
                      <wp:wrapNone/>
                      <wp:docPr id="1891288302"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WJrpLVAAAACgEAAA8AAAAAAAAAAQAg&#10;AAAAIgAAAGRycy9kb3ducmV2LnhtbFBLAQIUABQAAAAIAIdO4kBQ1vLNEQIAACkEAAAOAAAAAAAA&#10;AAEAIAAAACQBAABkcnMvZTJvRG9jLnhtbFBLBQYAAAAABgAGAFkBAACnBQ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635" r="3175" b="0"/>
                      <wp:wrapNone/>
                      <wp:docPr id="229203188"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Phi+XWAAAACQEAAA8AAAAAAAAAAQAg&#10;AAAAIgAAAGRycy9kb3ducmV2LnhtbFBLAQIUABQAAAAIAIdO4kDVbDiSEAIAACgEAAAOAAAAAAAA&#10;AAEAIAAAACUBAABkcnMvZTJvRG9jLnhtbFBLBQYAAAAABgAGAFkBAACnBQ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1" w:name="LB"/>
            <w:r>
              <w:instrText xml:space="preserve"> FORMDROPDOWN </w:instrText>
            </w:r>
            <w:r>
              <w:fldChar w:fldCharType="separate"/>
            </w:r>
            <w:r>
              <w:fldChar w:fldCharType="end"/>
            </w:r>
            <w:bookmarkEnd w:id="1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wrap="around"/>
            </w:pPr>
            <w:r>
              <w:fldChar w:fldCharType="begin">
                <w:ffData>
                  <w:name w:val="WCRQ"/>
                  <w:enabled/>
                  <w:calcOnExit w:val="0"/>
                  <w:textInput/>
                </w:ffData>
              </w:fldChar>
            </w:r>
            <w:bookmarkStart w:id="12" w:name="WCRQ"/>
            <w:r>
              <w:instrText xml:space="preserve"> FORMTEXT </w:instrText>
            </w:r>
            <w:r>
              <w:fldChar w:fldCharType="separate"/>
            </w:r>
            <w:r>
              <w:t>     </w:t>
            </w:r>
            <w:r>
              <w:fldChar w:fldCharType="end"/>
            </w:r>
            <w:bookmarkEnd w:id="12"/>
          </w:p>
        </w:tc>
      </w:tr>
    </w:tbl>
    <w:p>
      <w:pPr>
        <w:pStyle w:val="126"/>
        <w:framePr w:w="9637" w:wrap="around" w:hAnchor="page" w:x="1421" w:y="14631"/>
        <w:ind w:right="-5638" w:rightChars="-2685"/>
      </w:pPr>
      <w:r>
        <w:rPr>
          <w:rFonts w:ascii="黑体"/>
        </w:rPr>
        <w:fldChar w:fldCharType="begin">
          <w:ffData>
            <w:name w:val="FY"/>
            <w:enabled/>
            <w:calcOnExit w:val="0"/>
            <w:textInput>
              <w:default w:val="XXXX"/>
              <w:maxLength w:val="4"/>
            </w:textInput>
          </w:ffData>
        </w:fldChar>
      </w:r>
      <w:bookmarkStart w:id="13"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14"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27"/>
        <w:framePr w:wrap="around" w:hAnchor="page" w:x="7041" w:y="14641"/>
      </w:pPr>
      <w:r>
        <w:rPr>
          <w:rFonts w:ascii="黑体"/>
        </w:rPr>
        <w:fldChar w:fldCharType="begin">
          <w:ffData>
            <w:name w:val="SY"/>
            <w:enabled/>
            <w:calcOnExit w:val="0"/>
            <w:textInput>
              <w:default w:val="XXXX"/>
              <w:maxLength w:val="4"/>
            </w:textInput>
          </w:ffData>
        </w:fldChar>
      </w:r>
      <w:bookmarkStart w:id="15"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16"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7"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07"/>
        <w:framePr w:wrap="around"/>
      </w:pPr>
      <w:r>
        <w:fldChar w:fldCharType="begin">
          <w:ffData>
            <w:name w:val="fm"/>
            <w:enabled/>
            <w:calcOnExit w:val="0"/>
            <w:textInput/>
          </w:ffData>
        </w:fldChar>
      </w:r>
      <w:bookmarkStart w:id="18" w:name="fm"/>
      <w:r>
        <w:instrText xml:space="preserve"> FORMTEXT </w:instrText>
      </w:r>
      <w:r>
        <w:fldChar w:fldCharType="separate"/>
      </w:r>
      <w:r>
        <w:rPr>
          <w:rFonts w:hint="eastAsia"/>
        </w:rPr>
        <w:t>中华人民共和国工业和信息化部</w:t>
      </w:r>
      <w:r>
        <w:fldChar w:fldCharType="end"/>
      </w:r>
      <w:bookmarkEnd w:id="18"/>
      <w:r>
        <w:rPr>
          <w:rFonts w:hAnsi="黑体"/>
        </w:rPr>
        <w:t>   </w:t>
      </w:r>
      <w:r>
        <w:rPr>
          <w:rStyle w:val="69"/>
          <w:rFonts w:hint="eastAsia"/>
        </w:rPr>
        <w:t>发布</w:t>
      </w:r>
    </w:p>
    <w:p>
      <w:pPr>
        <w:pStyle w:val="21"/>
        <w:sectPr>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5715</wp:posOffset>
                </wp:positionH>
                <wp:positionV relativeFrom="paragraph">
                  <wp:posOffset>9293225</wp:posOffset>
                </wp:positionV>
                <wp:extent cx="6120130" cy="0"/>
                <wp:effectExtent l="10795" t="13970" r="12700" b="5080"/>
                <wp:wrapNone/>
                <wp:docPr id="1027341091" name="Line 19"/>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9" o:spid="_x0000_s1026" o:spt="20" style="position:absolute;left:0pt;margin-left:0.45pt;margin-top:731.75pt;height:0pt;width:481.9pt;z-index:251660288;mso-width-relative:page;mso-height-relative:page;" filled="f" stroked="t" coordsize="21600,21600" o:gfxdata="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jeHyT1gAAAAoBAAAPAAAAAAAAAAEAIAAAACIA&#10;AABkcnMvZG93bnJldi54bWxQSwECFAAUAAAACACHTuJAt9ZTV9IBAACpAwAADgAAAAAAAAABACAA&#10;AAAlAQAAZHJzL2Uyb0RvYy54bWxQSwUGAAAAAAYABgBZAQAAa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647569593"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JB4l/XAAAACQEAAA8AAAAAAAAAAQAgAAAAIgAA&#10;AGRycy9kb3ducmV2LnhtbFBLAQIUABQAAAAIAIdO4kBN4PhR0AEAAKgDAAAOAAAAAAAAAAEAIAAA&#10;ACYBAABkcnMvZTJvRG9jLnhtbFBLBQYAAAAABgAGAFkBAABoBQAAAAA=&#10;">
                <v:fill on="f" focussize="0,0"/>
                <v:stroke color="#000000" joinstyle="round"/>
                <v:imagedata o:title=""/>
                <o:lock v:ext="edit" aspectratio="f"/>
              </v:line>
            </w:pict>
          </mc:Fallback>
        </mc:AlternateContent>
      </w:r>
    </w:p>
    <w:p>
      <w:pPr>
        <w:pStyle w:val="108"/>
      </w:pPr>
      <w:bookmarkStart w:id="19" w:name="_Toc168040324"/>
      <w:r>
        <w:rPr>
          <w:rFonts w:hint="eastAsia"/>
        </w:rPr>
        <w:t>前</w:t>
      </w:r>
      <w:bookmarkStart w:id="20" w:name="BKQY"/>
      <w:r>
        <w:rPr>
          <w:rFonts w:hAnsi="黑体"/>
        </w:rPr>
        <w:t>  </w:t>
      </w:r>
      <w:r>
        <w:rPr>
          <w:rFonts w:hint="eastAsia"/>
        </w:rPr>
        <w:t>言</w:t>
      </w:r>
      <w:bookmarkEnd w:id="19"/>
      <w:bookmarkEnd w:id="20"/>
    </w:p>
    <w:p>
      <w:pPr>
        <w:pStyle w:val="134"/>
        <w:ind w:firstLine="420"/>
      </w:pPr>
      <w:r>
        <w:rPr>
          <w:rFonts w:hint="eastAsia"/>
        </w:rPr>
        <w:t>本文件按照GB/T 1.1—2020《标准化工作导则 第1部分：标准化文件的结构和起草规则》的规定起草。</w:t>
      </w:r>
    </w:p>
    <w:p>
      <w:pPr>
        <w:pStyle w:val="134"/>
        <w:ind w:firstLine="420"/>
      </w:pPr>
      <w:r>
        <w:rPr>
          <w:rFonts w:hint="eastAsia"/>
        </w:rPr>
        <w:t>本文件由中国轻工业联合会提出。</w:t>
      </w:r>
    </w:p>
    <w:p>
      <w:pPr>
        <w:pStyle w:val="134"/>
        <w:ind w:firstLine="420"/>
      </w:pPr>
      <w:r>
        <w:rPr>
          <w:rFonts w:hint="eastAsia"/>
        </w:rPr>
        <w:t>本文件由全国盐业标准化技术委员会（SAC/TC 295）归口。</w:t>
      </w:r>
    </w:p>
    <w:p>
      <w:pPr>
        <w:pStyle w:val="134"/>
        <w:ind w:firstLine="420"/>
      </w:pPr>
      <w:r>
        <w:rPr>
          <w:rFonts w:hint="eastAsia"/>
        </w:rPr>
        <w:t>本文件起草单位：</w:t>
      </w:r>
      <w:r>
        <w:rPr>
          <w:rFonts w:hint="eastAsia" w:hAnsi="宋体"/>
        </w:rPr>
        <w:t>浙江蓝海星盐制品有限公司、国盐检测（天津）有限责任公司、浙江百姿化妆品有限公司、浙江省盐业集团台州市盐业配送有限公司、浙江省化妆品协会</w:t>
      </w:r>
      <w:r>
        <w:rPr>
          <w:rFonts w:hint="eastAsia"/>
        </w:rPr>
        <w:t>。</w:t>
      </w:r>
    </w:p>
    <w:p>
      <w:pPr>
        <w:pStyle w:val="134"/>
        <w:ind w:firstLine="420"/>
      </w:pPr>
      <w:r>
        <w:rPr>
          <w:rFonts w:hint="eastAsia"/>
        </w:rPr>
        <w:t>本文件主要起草人：</w:t>
      </w:r>
    </w:p>
    <w:p>
      <w:pPr>
        <w:pStyle w:val="134"/>
        <w:ind w:firstLine="420"/>
      </w:pPr>
      <w:r>
        <w:rPr>
          <w:rFonts w:hint="eastAsia"/>
        </w:rPr>
        <w:t>本文件为首次发布。</w:t>
      </w:r>
    </w:p>
    <w:p>
      <w:pPr>
        <w:pStyle w:val="46"/>
      </w:pPr>
      <w:r>
        <w:rPr>
          <w:rFonts w:hint="eastAsia"/>
        </w:rPr>
        <w:t>化妆品用氯化钠</w:t>
      </w:r>
    </w:p>
    <w:p>
      <w:pPr>
        <w:pStyle w:val="41"/>
      </w:pPr>
      <w:r>
        <w:rPr>
          <w:rFonts w:hint="eastAsia"/>
        </w:rPr>
        <w:t>范围</w:t>
      </w:r>
    </w:p>
    <w:p>
      <w:pPr>
        <w:pStyle w:val="21"/>
      </w:pPr>
      <w:r>
        <w:rPr>
          <w:rFonts w:hint="eastAsia"/>
        </w:rPr>
        <w:t>本标准规定了化妆品用海盐的要求、试验方法、检验规则、标签、包装、运输、贮存。</w:t>
      </w:r>
    </w:p>
    <w:p>
      <w:pPr>
        <w:ind w:firstLine="420" w:firstLineChars="200"/>
      </w:pPr>
      <w:r>
        <w:rPr>
          <w:rFonts w:hint="eastAsia"/>
        </w:rPr>
        <w:t>本标准适用于以海水、地下卤水、盐湖卤水为初始原料，通过自然蒸发结晶、真空蒸发结晶、机械热压缩蒸发结晶的工艺中一种制得的氯化钠；以天然盐矿自然直接开采、粉碎分筛制得的岩盐型氯化钠；也可以将上述工艺制得的氯化钠为原料，与竹子高温煅烧等制得的竹盐型氯化钠。作为化妆品用原料。</w:t>
      </w:r>
    </w:p>
    <w:p>
      <w:pPr>
        <w:ind w:firstLine="420" w:firstLineChars="200"/>
      </w:pPr>
      <w:r>
        <w:rPr>
          <w:rFonts w:hint="eastAsia"/>
        </w:rPr>
        <w:t>工业副产盐或通过工业副产物（固态、液态）再提纯制得的盐（以氯化钠为主要成分）均不适用。</w:t>
      </w:r>
    </w:p>
    <w:p>
      <w:pPr>
        <w:pStyle w:val="41"/>
      </w:pPr>
      <w:r>
        <w:rPr>
          <w:rFonts w:hint="eastAsia"/>
        </w:rPr>
        <w:t>规范性引用文件</w:t>
      </w:r>
    </w:p>
    <w:p>
      <w:pPr>
        <w:pStyle w:val="21"/>
        <w:rPr>
          <w:rFonts w:ascii="Calibri" w:hAnsi="Calibri"/>
          <w:kern w:val="2"/>
          <w:szCs w:val="21"/>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1"/>
        <w:spacing w:line="240" w:lineRule="atLeast"/>
      </w:pPr>
      <w:r>
        <w:rPr>
          <w:rFonts w:hint="eastAsia"/>
        </w:rPr>
        <w:t>GB/T 191  包装储运图示标志</w:t>
      </w:r>
    </w:p>
    <w:p>
      <w:pPr>
        <w:pStyle w:val="21"/>
        <w:rPr>
          <w:color w:val="000000"/>
        </w:rPr>
      </w:pPr>
      <w:r>
        <w:rPr>
          <w:rFonts w:hint="eastAsia"/>
        </w:rPr>
        <w:t>GB 5009.11</w:t>
      </w:r>
      <w:r>
        <w:t xml:space="preserve">  </w:t>
      </w:r>
      <w:r>
        <w:rPr>
          <w:rFonts w:hint="eastAsia"/>
        </w:rPr>
        <w:t xml:space="preserve">食品安全国家标准 </w:t>
      </w:r>
      <w:r>
        <w:rPr>
          <w:rFonts w:hint="eastAsia"/>
          <w:color w:val="000000"/>
        </w:rPr>
        <w:t>食品中总砷及无机砷的测定</w:t>
      </w:r>
    </w:p>
    <w:p>
      <w:pPr>
        <w:pStyle w:val="21"/>
      </w:pPr>
      <w:r>
        <w:rPr>
          <w:rFonts w:hint="eastAsia"/>
        </w:rPr>
        <w:t>GB 5009.12</w:t>
      </w:r>
      <w:r>
        <w:t xml:space="preserve">  </w:t>
      </w:r>
      <w:r>
        <w:rPr>
          <w:rFonts w:hint="eastAsia"/>
        </w:rPr>
        <w:t>食品安全国家标准 食品中铅的测定</w:t>
      </w:r>
    </w:p>
    <w:p>
      <w:pPr>
        <w:pStyle w:val="21"/>
        <w:rPr>
          <w:color w:val="000000"/>
        </w:rPr>
      </w:pPr>
      <w:r>
        <w:t>GB 5009.1</w:t>
      </w:r>
      <w:r>
        <w:rPr>
          <w:rFonts w:hint="eastAsia"/>
        </w:rPr>
        <w:t xml:space="preserve">5 </w:t>
      </w:r>
      <w:r>
        <w:t xml:space="preserve"> </w:t>
      </w:r>
      <w:r>
        <w:rPr>
          <w:rFonts w:hint="eastAsia"/>
        </w:rPr>
        <w:t xml:space="preserve">食品安全国家标准 </w:t>
      </w:r>
      <w:r>
        <w:rPr>
          <w:rFonts w:hint="eastAsia"/>
          <w:color w:val="000000"/>
        </w:rPr>
        <w:t>食品中镉的测定</w:t>
      </w:r>
    </w:p>
    <w:p>
      <w:pPr>
        <w:pStyle w:val="21"/>
        <w:rPr>
          <w:color w:val="000000"/>
        </w:rPr>
      </w:pPr>
      <w:r>
        <w:rPr>
          <w:color w:val="000000"/>
        </w:rPr>
        <w:t>GB 5009.1</w:t>
      </w:r>
      <w:r>
        <w:rPr>
          <w:rFonts w:hint="eastAsia"/>
          <w:color w:val="000000"/>
        </w:rPr>
        <w:t>7</w:t>
      </w:r>
      <w:r>
        <w:rPr>
          <w:color w:val="000000"/>
        </w:rPr>
        <w:t xml:space="preserve">  </w:t>
      </w:r>
      <w:r>
        <w:rPr>
          <w:rFonts w:hint="eastAsia"/>
        </w:rPr>
        <w:t xml:space="preserve">食品安全国家标准 </w:t>
      </w:r>
      <w:r>
        <w:rPr>
          <w:rFonts w:hint="eastAsia"/>
          <w:color w:val="000000"/>
        </w:rPr>
        <w:t>食品中总汞及有机汞的测定</w:t>
      </w:r>
    </w:p>
    <w:p>
      <w:pPr>
        <w:pStyle w:val="21"/>
      </w:pPr>
      <w:r>
        <w:rPr>
          <w:color w:val="000000"/>
        </w:rPr>
        <w:t>G</w:t>
      </w:r>
      <w:r>
        <w:rPr>
          <w:rFonts w:hint="eastAsia"/>
          <w:color w:val="000000"/>
        </w:rPr>
        <w:t xml:space="preserve">B/T </w:t>
      </w:r>
      <w:r>
        <w:rPr>
          <w:color w:val="000000"/>
        </w:rPr>
        <w:t>8618</w:t>
      </w:r>
      <w:r>
        <w:rPr>
          <w:rFonts w:hint="eastAsia"/>
          <w:color w:val="000000"/>
        </w:rPr>
        <w:t xml:space="preserve"> </w:t>
      </w:r>
      <w:r>
        <w:rPr>
          <w:color w:val="000000"/>
        </w:rPr>
        <w:t xml:space="preserve"> </w:t>
      </w:r>
      <w:r>
        <w:rPr>
          <w:rFonts w:hint="eastAsia"/>
          <w:color w:val="000000"/>
        </w:rPr>
        <w:t>制盐工业主要产品取样方法</w:t>
      </w:r>
    </w:p>
    <w:p>
      <w:pPr>
        <w:pStyle w:val="21"/>
        <w:spacing w:line="240" w:lineRule="atLeast"/>
      </w:pPr>
      <w:r>
        <w:t>GB/T 13025.</w:t>
      </w:r>
      <w:r>
        <w:rPr>
          <w:rFonts w:hint="eastAsia"/>
        </w:rPr>
        <w:t>3-2012</w:t>
      </w:r>
      <w:r>
        <w:t xml:space="preserve">  制盐工业通用试验方法 水</w:t>
      </w:r>
      <w:r>
        <w:rPr>
          <w:rFonts w:hint="eastAsia"/>
        </w:rPr>
        <w:t>分</w:t>
      </w:r>
      <w:r>
        <w:t>的测定</w:t>
      </w:r>
    </w:p>
    <w:p>
      <w:pPr>
        <w:pStyle w:val="21"/>
        <w:spacing w:line="240" w:lineRule="atLeast"/>
      </w:pPr>
      <w:r>
        <w:t>GB/T 13025.5  制盐工业通用试验方法 氯离子的测定</w:t>
      </w:r>
    </w:p>
    <w:p>
      <w:pPr>
        <w:pStyle w:val="21"/>
        <w:spacing w:line="240" w:lineRule="atLeast"/>
      </w:pPr>
      <w:r>
        <w:t xml:space="preserve">GB/T 13025.6  制盐工业通用试验方法 </w:t>
      </w:r>
      <w:r>
        <w:rPr>
          <w:rFonts w:hint="eastAsia"/>
        </w:rPr>
        <w:t>钙和</w:t>
      </w:r>
      <w:r>
        <w:t>镁的测定</w:t>
      </w:r>
    </w:p>
    <w:p>
      <w:pPr>
        <w:pStyle w:val="21"/>
        <w:spacing w:line="240" w:lineRule="atLeast"/>
      </w:pPr>
      <w:r>
        <w:t>GB/T 13025.</w:t>
      </w:r>
      <w:r>
        <w:rPr>
          <w:rFonts w:hint="eastAsia"/>
        </w:rPr>
        <w:t>8</w:t>
      </w:r>
      <w:r>
        <w:t xml:space="preserve">  制盐工业通用试验方法 </w:t>
      </w:r>
      <w:r>
        <w:rPr>
          <w:rFonts w:hint="eastAsia"/>
        </w:rPr>
        <w:t>硫酸根</w:t>
      </w:r>
      <w:r>
        <w:t>的测定</w:t>
      </w:r>
    </w:p>
    <w:p>
      <w:pPr>
        <w:pStyle w:val="21"/>
        <w:spacing w:line="240" w:lineRule="atLeast"/>
      </w:pPr>
      <w:r>
        <w:t>GB</w:t>
      </w:r>
      <w:r>
        <w:rPr>
          <w:rFonts w:hint="eastAsia"/>
        </w:rPr>
        <w:t>/T</w:t>
      </w:r>
      <w:r>
        <w:t xml:space="preserve"> 13025.9  制盐工业通用试验方法 铅的测定</w:t>
      </w:r>
    </w:p>
    <w:p>
      <w:pPr>
        <w:pStyle w:val="21"/>
        <w:spacing w:line="240" w:lineRule="atLeast"/>
      </w:pPr>
      <w:r>
        <w:t xml:space="preserve">GB/T 13025.13 </w:t>
      </w:r>
      <w:r>
        <w:rPr>
          <w:rFonts w:hint="eastAsia"/>
        </w:rPr>
        <w:t xml:space="preserve"> </w:t>
      </w:r>
      <w:r>
        <w:t>制盐工业通用试验方法</w:t>
      </w:r>
      <w:r>
        <w:rPr>
          <w:rFonts w:hint="eastAsia"/>
        </w:rPr>
        <w:t xml:space="preserve"> </w:t>
      </w:r>
      <w:r>
        <w:t>砷的测定</w:t>
      </w:r>
    </w:p>
    <w:p>
      <w:pPr>
        <w:pStyle w:val="21"/>
        <w:spacing w:line="240" w:lineRule="atLeast"/>
      </w:pPr>
      <w:r>
        <w:t xml:space="preserve">GB/T 13531.1 </w:t>
      </w:r>
      <w:r>
        <w:rPr>
          <w:rFonts w:hint="eastAsia"/>
        </w:rPr>
        <w:t xml:space="preserve"> </w:t>
      </w:r>
      <w:r>
        <w:t>化妆品通用检验方法 pH值的测定</w:t>
      </w:r>
    </w:p>
    <w:p>
      <w:pPr>
        <w:pStyle w:val="41"/>
        <w:spacing w:line="360" w:lineRule="auto"/>
      </w:pPr>
      <w:r>
        <w:rPr>
          <w:rFonts w:hint="eastAsia"/>
        </w:rPr>
        <w:t>术语和定义</w:t>
      </w:r>
    </w:p>
    <w:p>
      <w:pPr>
        <w:pStyle w:val="21"/>
        <w:rPr>
          <w:szCs w:val="21"/>
        </w:rPr>
      </w:pPr>
      <w:r>
        <w:rPr>
          <w:rFonts w:hint="eastAsia"/>
          <w:szCs w:val="21"/>
        </w:rPr>
        <w:t>本文件没有需要界定的术语和定义。</w:t>
      </w:r>
    </w:p>
    <w:p>
      <w:pPr>
        <w:pStyle w:val="41"/>
      </w:pPr>
      <w:r>
        <w:rPr>
          <w:rFonts w:hint="eastAsia"/>
        </w:rPr>
        <w:t>产品化学名称、INCI名称、分子式、CAS号、相对分子质量</w:t>
      </w:r>
    </w:p>
    <w:p>
      <w:pPr>
        <w:pStyle w:val="44"/>
      </w:pPr>
      <w:r>
        <w:rPr>
          <w:rFonts w:hint="eastAsia"/>
        </w:rPr>
        <w:t>化学名称：氯化钠</w:t>
      </w:r>
    </w:p>
    <w:p>
      <w:pPr>
        <w:pStyle w:val="44"/>
      </w:pPr>
      <w:r>
        <w:rPr>
          <w:rFonts w:hint="eastAsia"/>
        </w:rPr>
        <w:t>INCI名称：</w:t>
      </w:r>
      <w:r>
        <w:fldChar w:fldCharType="begin"/>
      </w:r>
      <w:r>
        <w:instrText xml:space="preserve"> HYPERLINK "https://www.chemsrc.com/en/cas/7647-14-5_895869.html" \t "https://www.chemsrc.com/cas/_blank" </w:instrText>
      </w:r>
      <w:r>
        <w:fldChar w:fldCharType="separate"/>
      </w:r>
      <w:r>
        <w:t>sodium chloride</w:t>
      </w:r>
      <w:r>
        <w:fldChar w:fldCharType="end"/>
      </w:r>
    </w:p>
    <w:p>
      <w:pPr>
        <w:pStyle w:val="44"/>
      </w:pPr>
      <w:r>
        <w:rPr>
          <w:rFonts w:hint="eastAsia"/>
        </w:rPr>
        <w:t>分子式：NaCl</w:t>
      </w:r>
    </w:p>
    <w:p>
      <w:pPr>
        <w:pStyle w:val="44"/>
      </w:pPr>
      <w:r>
        <w:rPr>
          <w:rFonts w:hint="eastAsia"/>
        </w:rPr>
        <w:t>CAS号：7647-14-5</w:t>
      </w:r>
    </w:p>
    <w:p>
      <w:pPr>
        <w:pStyle w:val="44"/>
      </w:pPr>
      <w:r>
        <w:rPr>
          <w:rFonts w:hint="eastAsia"/>
        </w:rPr>
        <w:t>相对分子质量：58.443（按2018年国际相对原子质量）</w:t>
      </w:r>
    </w:p>
    <w:p>
      <w:pPr>
        <w:pStyle w:val="41"/>
      </w:pPr>
      <w:r>
        <w:rPr>
          <w:rFonts w:hint="eastAsia"/>
        </w:rPr>
        <w:t>要求</w:t>
      </w:r>
    </w:p>
    <w:p>
      <w:pPr>
        <w:pStyle w:val="38"/>
      </w:pPr>
      <w:r>
        <w:rPr>
          <w:rFonts w:hint="eastAsia"/>
        </w:rPr>
        <w:t>原料要求</w:t>
      </w:r>
    </w:p>
    <w:p>
      <w:pPr>
        <w:pStyle w:val="134"/>
        <w:ind w:firstLine="420"/>
      </w:pPr>
      <w:r>
        <w:rPr>
          <w:rFonts w:hint="eastAsia"/>
        </w:rPr>
        <w:t>不得使用工业副产物作为原料。原料中不得带入暴露于人体可能对人体健康造成危害的物质。</w:t>
      </w:r>
    </w:p>
    <w:p>
      <w:pPr>
        <w:pStyle w:val="38"/>
      </w:pPr>
      <w:r>
        <w:rPr>
          <w:rFonts w:hint="eastAsia"/>
        </w:rPr>
        <w:t>感官要求</w:t>
      </w:r>
    </w:p>
    <w:p>
      <w:pPr>
        <w:pStyle w:val="21"/>
      </w:pPr>
      <w:r>
        <w:rPr>
          <w:rFonts w:hint="eastAsia"/>
        </w:rPr>
        <w:t>感官要求应符合表1的规定。</w:t>
      </w:r>
    </w:p>
    <w:p>
      <w:pPr>
        <w:pStyle w:val="122"/>
      </w:pPr>
      <w:r>
        <w:rPr>
          <w:rFonts w:hint="eastAsia"/>
        </w:rPr>
        <w:t>感官要求</w:t>
      </w:r>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bottom w:val="single" w:color="auto" w:sz="8" w:space="0"/>
            </w:tcBorders>
            <w:shd w:val="clear" w:color="auto" w:fill="auto"/>
          </w:tcPr>
          <w:p>
            <w:pPr>
              <w:jc w:val="center"/>
              <w:rPr>
                <w:rFonts w:ascii="宋体"/>
              </w:rPr>
            </w:pPr>
            <w:r>
              <w:rPr>
                <w:rFonts w:hint="eastAsia" w:ascii="宋体" w:hAnsi="宋体"/>
                <w:sz w:val="18"/>
                <w:szCs w:val="18"/>
              </w:rPr>
              <w:t>项  目</w:t>
            </w:r>
          </w:p>
        </w:tc>
        <w:tc>
          <w:tcPr>
            <w:tcW w:w="4785" w:type="dxa"/>
            <w:tcBorders>
              <w:top w:val="single" w:color="auto" w:sz="8" w:space="0"/>
              <w:bottom w:val="single" w:color="auto" w:sz="8" w:space="0"/>
            </w:tcBorders>
            <w:shd w:val="clear" w:color="auto" w:fill="auto"/>
          </w:tcPr>
          <w:p>
            <w:pPr>
              <w:jc w:val="center"/>
              <w:rPr>
                <w:rFonts w:ascii="宋体"/>
              </w:rPr>
            </w:pPr>
            <w:r>
              <w:rPr>
                <w:rFonts w:hint="eastAsia" w:ascii="宋体" w:hAnsi="宋体"/>
                <w:sz w:val="18"/>
                <w:szCs w:val="18"/>
              </w:rPr>
              <w:t>要  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tcBorders>
            <w:shd w:val="clear" w:color="auto" w:fill="auto"/>
            <w:vAlign w:val="center"/>
          </w:tcPr>
          <w:p>
            <w:pPr>
              <w:rPr>
                <w:rFonts w:ascii="宋体"/>
              </w:rPr>
            </w:pPr>
            <w:r>
              <w:rPr>
                <w:rFonts w:hint="eastAsia" w:ascii="宋体" w:hAnsi="宋体"/>
                <w:sz w:val="18"/>
                <w:szCs w:val="18"/>
              </w:rPr>
              <w:t>色泽和形态</w:t>
            </w:r>
          </w:p>
        </w:tc>
        <w:tc>
          <w:tcPr>
            <w:tcW w:w="4785" w:type="dxa"/>
            <w:tcBorders>
              <w:top w:val="single" w:color="auto" w:sz="8" w:space="0"/>
            </w:tcBorders>
            <w:shd w:val="clear" w:color="auto" w:fill="auto"/>
          </w:tcPr>
          <w:p>
            <w:pPr>
              <w:rPr>
                <w:rFonts w:hint="eastAsia" w:ascii="宋体" w:hAnsi="宋体"/>
                <w:sz w:val="18"/>
                <w:szCs w:val="18"/>
              </w:rPr>
            </w:pPr>
            <w:r>
              <w:rPr>
                <w:rFonts w:hint="eastAsia" w:ascii="宋体" w:hAnsi="宋体"/>
                <w:sz w:val="18"/>
                <w:szCs w:val="18"/>
              </w:rPr>
              <w:t>蒸发结晶的氯化钠呈白色或无色，形态为结晶颗粒或粉末；</w:t>
            </w:r>
          </w:p>
          <w:p>
            <w:pPr>
              <w:rPr>
                <w:rFonts w:hint="eastAsia" w:ascii="宋体" w:hAnsi="宋体"/>
                <w:sz w:val="18"/>
                <w:szCs w:val="18"/>
              </w:rPr>
            </w:pPr>
            <w:r>
              <w:rPr>
                <w:rFonts w:hint="eastAsia" w:ascii="宋体" w:hAnsi="宋体"/>
                <w:sz w:val="18"/>
                <w:szCs w:val="18"/>
              </w:rPr>
              <w:t>岩盐型氯化钠自带特有色泽</w:t>
            </w:r>
            <w:bookmarkStart w:id="21" w:name="OLE_LINK1"/>
            <w:r>
              <w:rPr>
                <w:rFonts w:hint="eastAsia" w:ascii="宋体" w:hAnsi="宋体"/>
                <w:sz w:val="18"/>
                <w:szCs w:val="18"/>
              </w:rPr>
              <w:t>或纹理，</w:t>
            </w:r>
            <w:bookmarkEnd w:id="21"/>
            <w:r>
              <w:rPr>
                <w:rFonts w:hint="eastAsia" w:ascii="宋体" w:hAnsi="宋体"/>
                <w:sz w:val="18"/>
                <w:szCs w:val="18"/>
              </w:rPr>
              <w:t>形态为粉末或晶体状；</w:t>
            </w:r>
          </w:p>
          <w:p>
            <w:r>
              <w:rPr>
                <w:rFonts w:hint="eastAsia" w:ascii="宋体" w:hAnsi="宋体"/>
                <w:sz w:val="18"/>
                <w:szCs w:val="18"/>
              </w:rPr>
              <w:t>竹盐型氯化钠呈白色或灰白色，形态为粉末或颗粒状。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bottom w:val="single" w:color="auto" w:sz="4" w:space="0"/>
            </w:tcBorders>
            <w:shd w:val="clear" w:color="auto" w:fill="auto"/>
          </w:tcPr>
          <w:p>
            <w:pPr>
              <w:rPr>
                <w:rFonts w:ascii="宋体"/>
              </w:rPr>
            </w:pPr>
            <w:r>
              <w:rPr>
                <w:rFonts w:hint="eastAsia" w:ascii="宋体" w:hAnsi="宋体"/>
                <w:sz w:val="18"/>
                <w:szCs w:val="18"/>
              </w:rPr>
              <w:t>气味</w:t>
            </w:r>
          </w:p>
        </w:tc>
        <w:tc>
          <w:tcPr>
            <w:tcW w:w="4785" w:type="dxa"/>
            <w:tcBorders>
              <w:bottom w:val="single" w:color="auto" w:sz="4" w:space="0"/>
            </w:tcBorders>
            <w:shd w:val="clear" w:color="auto" w:fill="auto"/>
          </w:tcPr>
          <w:p>
            <w:pPr>
              <w:rPr>
                <w:rFonts w:ascii="宋体"/>
              </w:rPr>
            </w:pPr>
            <w:r>
              <w:rPr>
                <w:rFonts w:hint="eastAsia" w:ascii="宋体" w:hAnsi="宋体"/>
                <w:sz w:val="18"/>
                <w:szCs w:val="18"/>
              </w:rPr>
              <w:t>竹盐型氯化钠有产品特色的灼烧味；其他无异味。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4" w:space="0"/>
              <w:bottom w:val="single" w:color="auto" w:sz="8" w:space="0"/>
            </w:tcBorders>
            <w:shd w:val="clear" w:color="auto" w:fill="auto"/>
            <w:vAlign w:val="center"/>
          </w:tcPr>
          <w:p>
            <w:pPr>
              <w:rPr>
                <w:rFonts w:ascii="宋体"/>
              </w:rPr>
            </w:pPr>
            <w:r>
              <w:rPr>
                <w:rFonts w:hint="eastAsia" w:ascii="宋体" w:hAnsi="宋体"/>
                <w:sz w:val="18"/>
                <w:szCs w:val="18"/>
              </w:rPr>
              <w:t>其他</w:t>
            </w:r>
          </w:p>
        </w:tc>
        <w:tc>
          <w:tcPr>
            <w:tcW w:w="4785" w:type="dxa"/>
            <w:tcBorders>
              <w:top w:val="single" w:color="auto" w:sz="4" w:space="0"/>
              <w:bottom w:val="single" w:color="auto" w:sz="8" w:space="0"/>
            </w:tcBorders>
            <w:shd w:val="clear" w:color="auto" w:fill="auto"/>
          </w:tcPr>
          <w:p>
            <w:pPr>
              <w:rPr>
                <w:rFonts w:hint="eastAsia" w:ascii="宋体" w:hAnsi="宋体"/>
                <w:sz w:val="18"/>
                <w:szCs w:val="18"/>
              </w:rPr>
            </w:pPr>
            <w:r>
              <w:rPr>
                <w:rFonts w:hint="eastAsia" w:ascii="宋体" w:hAnsi="宋体"/>
                <w:sz w:val="18"/>
                <w:szCs w:val="18"/>
              </w:rPr>
              <w:t>竹盐型氯化钠有少量微小碳颗粒；其他无正常视力可见外来杂质。</w:t>
            </w:r>
          </w:p>
        </w:tc>
      </w:tr>
    </w:tbl>
    <w:p>
      <w:pPr>
        <w:pStyle w:val="38"/>
      </w:pPr>
      <w:r>
        <w:rPr>
          <w:rFonts w:hint="eastAsia"/>
        </w:rPr>
        <w:t>理化指标</w:t>
      </w:r>
    </w:p>
    <w:p>
      <w:pPr>
        <w:pStyle w:val="134"/>
        <w:ind w:firstLine="420"/>
        <w:rPr>
          <w:rFonts w:hint="eastAsia" w:hAnsi="宋体"/>
        </w:rPr>
      </w:pPr>
      <w:r>
        <w:rPr>
          <w:rFonts w:hint="eastAsia"/>
        </w:rPr>
        <w:t>理化指标应符合表2的规定。</w:t>
      </w:r>
    </w:p>
    <w:p>
      <w:pPr>
        <w:pStyle w:val="122"/>
        <w:tabs>
          <w:tab w:val="left" w:pos="420"/>
          <w:tab w:val="clear" w:pos="360"/>
        </w:tabs>
        <w:spacing w:before="0" w:beforeLines="0" w:after="160" w:afterLines="0" w:line="278" w:lineRule="auto"/>
      </w:pPr>
      <w:r>
        <w:rPr>
          <w:rFonts w:hint="eastAsia"/>
        </w:rPr>
        <w:t>理化指标</w:t>
      </w:r>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bottom w:val="single" w:color="auto" w:sz="8" w:space="0"/>
            </w:tcBorders>
            <w:shd w:val="clear" w:color="auto" w:fill="auto"/>
            <w:vAlign w:val="center"/>
          </w:tcPr>
          <w:p>
            <w:pPr>
              <w:jc w:val="center"/>
              <w:rPr>
                <w:rFonts w:hint="eastAsia" w:ascii="宋体" w:hAnsi="宋体"/>
                <w:sz w:val="18"/>
                <w:szCs w:val="18"/>
              </w:rPr>
            </w:pPr>
            <w:r>
              <w:rPr>
                <w:rFonts w:ascii="宋体" w:hAnsi="宋体"/>
                <w:sz w:val="18"/>
                <w:szCs w:val="18"/>
              </w:rPr>
              <w:t>项</w:t>
            </w:r>
            <w:r>
              <w:rPr>
                <w:rFonts w:hint="eastAsia" w:ascii="宋体" w:hAnsi="宋体"/>
                <w:sz w:val="18"/>
                <w:szCs w:val="18"/>
              </w:rPr>
              <w:t xml:space="preserve">   </w:t>
            </w:r>
            <w:r>
              <w:rPr>
                <w:rFonts w:ascii="宋体" w:hAnsi="宋体"/>
                <w:sz w:val="18"/>
                <w:szCs w:val="18"/>
              </w:rPr>
              <w:t>目</w:t>
            </w:r>
          </w:p>
        </w:tc>
        <w:tc>
          <w:tcPr>
            <w:tcW w:w="4785" w:type="dxa"/>
            <w:tcBorders>
              <w:top w:val="single" w:color="auto" w:sz="8" w:space="0"/>
              <w:bottom w:val="single" w:color="auto" w:sz="8" w:space="0"/>
            </w:tcBorders>
            <w:shd w:val="clear" w:color="auto" w:fill="auto"/>
          </w:tcPr>
          <w:p>
            <w:pPr>
              <w:jc w:val="center"/>
              <w:rPr>
                <w:rFonts w:hint="eastAsia" w:ascii="宋体" w:hAnsi="宋体"/>
                <w:sz w:val="18"/>
                <w:szCs w:val="18"/>
              </w:rPr>
            </w:pPr>
            <w:r>
              <w:rPr>
                <w:rFonts w:ascii="宋体" w:hAnsi="宋体"/>
                <w:sz w:val="18"/>
                <w:szCs w:val="18"/>
              </w:rPr>
              <w:t>指</w:t>
            </w:r>
            <w:r>
              <w:rPr>
                <w:rFonts w:hint="eastAsia" w:ascii="宋体" w:hAnsi="宋体"/>
                <w:sz w:val="18"/>
                <w:szCs w:val="18"/>
              </w:rPr>
              <w:t xml:space="preserve">  </w:t>
            </w:r>
            <w:r>
              <w:rPr>
                <w:rFonts w:ascii="宋体" w:hAnsi="宋体"/>
                <w:sz w:val="18"/>
                <w:szCs w:val="18"/>
              </w:rPr>
              <w:t>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left w:val="single" w:color="auto" w:sz="8"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氯化钠 ,g/100g                                  </w:t>
            </w:r>
            <w:r>
              <w:rPr>
                <w:rFonts w:ascii="宋体" w:hAnsi="宋体"/>
                <w:sz w:val="18"/>
                <w:szCs w:val="18"/>
              </w:rPr>
              <w:t>≥</w:t>
            </w:r>
          </w:p>
        </w:tc>
        <w:tc>
          <w:tcPr>
            <w:tcW w:w="4785" w:type="dxa"/>
            <w:tcBorders>
              <w:top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97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left w:val="single" w:color="auto" w:sz="8"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水分，g/100g                                    </w:t>
            </w:r>
            <w:r>
              <w:rPr>
                <w:rFonts w:ascii="宋体" w:hAnsi="宋体"/>
                <w:sz w:val="18"/>
                <w:szCs w:val="18"/>
              </w:rPr>
              <w:t>≤</w:t>
            </w:r>
          </w:p>
        </w:tc>
        <w:tc>
          <w:tcPr>
            <w:tcW w:w="4785" w:type="dxa"/>
            <w:shd w:val="clear" w:color="auto" w:fill="auto"/>
            <w:vAlign w:val="center"/>
          </w:tcPr>
          <w:p>
            <w:pPr>
              <w:jc w:val="center"/>
              <w:rPr>
                <w:rFonts w:hint="eastAsia" w:ascii="宋体" w:hAnsi="宋体"/>
                <w:sz w:val="18"/>
                <w:szCs w:val="18"/>
              </w:rPr>
            </w:pPr>
            <w:r>
              <w:rPr>
                <w:rFonts w:hint="eastAsia" w:ascii="宋体" w:hAnsi="宋体"/>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left w:val="single" w:color="auto" w:sz="8"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铅（以Pb计）,mg/kg                               </w:t>
            </w:r>
            <w:r>
              <w:rPr>
                <w:rFonts w:ascii="宋体" w:hAnsi="宋体"/>
                <w:sz w:val="18"/>
                <w:szCs w:val="18"/>
              </w:rPr>
              <w:t>≤</w:t>
            </w:r>
          </w:p>
        </w:tc>
        <w:tc>
          <w:tcPr>
            <w:tcW w:w="4785" w:type="dxa"/>
            <w:shd w:val="clear" w:color="auto" w:fill="auto"/>
            <w:vAlign w:val="center"/>
          </w:tcPr>
          <w:p>
            <w:pPr>
              <w:jc w:val="center"/>
              <w:rPr>
                <w:rFonts w:hint="eastAsia" w:ascii="宋体" w:hAnsi="宋体"/>
                <w:sz w:val="18"/>
                <w:szCs w:val="18"/>
              </w:rPr>
            </w:pPr>
            <w:r>
              <w:rPr>
                <w:rFonts w:hint="eastAsia" w:ascii="宋体" w:hAnsi="宋体"/>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left w:val="single" w:color="auto" w:sz="8" w:space="0"/>
              <w:bottom w:val="single" w:color="auto" w:sz="2"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总汞（以Hg计）,mg/kg                              </w:t>
            </w:r>
            <w:r>
              <w:rPr>
                <w:rFonts w:ascii="宋体" w:hAnsi="宋体"/>
                <w:sz w:val="18"/>
                <w:szCs w:val="18"/>
              </w:rPr>
              <w:t>≤</w:t>
            </w:r>
          </w:p>
        </w:tc>
        <w:tc>
          <w:tcPr>
            <w:tcW w:w="4785" w:type="dxa"/>
            <w:tcBorders>
              <w:bottom w:val="single" w:color="auto" w:sz="2" w:space="0"/>
            </w:tcBorders>
            <w:shd w:val="clear" w:color="auto" w:fill="auto"/>
            <w:vAlign w:val="center"/>
          </w:tcPr>
          <w:p>
            <w:pPr>
              <w:jc w:val="center"/>
              <w:rPr>
                <w:rFonts w:hint="eastAsia" w:ascii="宋体" w:hAnsi="宋体"/>
                <w:sz w:val="18"/>
                <w:szCs w:val="18"/>
              </w:rPr>
            </w:pPr>
            <w:r>
              <w:rPr>
                <w:rFonts w:hint="eastAsia" w:ascii="宋体" w:hAnsi="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2" w:space="0"/>
              <w:left w:val="single" w:color="auto" w:sz="8" w:space="0"/>
              <w:bottom w:val="single" w:color="auto" w:sz="2" w:space="0"/>
              <w:right w:val="single" w:color="auto" w:sz="2"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镉（以Cd计),mg/kg                               </w:t>
            </w:r>
            <w:r>
              <w:rPr>
                <w:rFonts w:ascii="宋体" w:hAnsi="宋体"/>
                <w:sz w:val="18"/>
                <w:szCs w:val="18"/>
              </w:rPr>
              <w:t>≤</w:t>
            </w:r>
          </w:p>
        </w:tc>
        <w:tc>
          <w:tcPr>
            <w:tcW w:w="4785" w:type="dxa"/>
            <w:tcBorders>
              <w:top w:val="single" w:color="auto" w:sz="2" w:space="0"/>
              <w:left w:val="single" w:color="auto" w:sz="2" w:space="0"/>
              <w:bottom w:val="single" w:color="auto" w:sz="2" w:space="0"/>
              <w:right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2" w:space="0"/>
              <w:left w:val="single" w:color="auto" w:sz="8" w:space="0"/>
              <w:bottom w:val="single" w:color="auto" w:sz="2" w:space="0"/>
              <w:right w:val="single" w:color="auto" w:sz="2"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总砷（以As计）,mg/kg                              </w:t>
            </w:r>
            <w:r>
              <w:rPr>
                <w:rFonts w:ascii="宋体" w:hAnsi="宋体"/>
                <w:sz w:val="18"/>
                <w:szCs w:val="18"/>
              </w:rPr>
              <w:t>≤</w:t>
            </w:r>
          </w:p>
        </w:tc>
        <w:tc>
          <w:tcPr>
            <w:tcW w:w="4785" w:type="dxa"/>
            <w:tcBorders>
              <w:top w:val="single" w:color="auto" w:sz="2" w:space="0"/>
              <w:left w:val="single" w:color="auto" w:sz="2" w:space="0"/>
              <w:bottom w:val="single" w:color="auto" w:sz="2" w:space="0"/>
              <w:right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2" w:space="0"/>
              <w:left w:val="single" w:color="auto" w:sz="8" w:space="0"/>
              <w:bottom w:val="single" w:color="auto" w:sz="2" w:space="0"/>
              <w:right w:val="single" w:color="auto" w:sz="2" w:space="0"/>
            </w:tcBorders>
            <w:shd w:val="clear" w:color="auto" w:fill="auto"/>
          </w:tcPr>
          <w:p>
            <w:pPr>
              <w:jc w:val="left"/>
              <w:rPr>
                <w:rFonts w:hint="eastAsia" w:ascii="宋体" w:hAnsi="宋体"/>
                <w:sz w:val="18"/>
                <w:szCs w:val="18"/>
              </w:rPr>
            </w:pPr>
            <w:r>
              <w:rPr>
                <w:rFonts w:hint="eastAsia" w:ascii="宋体" w:hAnsi="宋体"/>
                <w:sz w:val="18"/>
                <w:szCs w:val="18"/>
              </w:rPr>
              <w:t>pH值</w:t>
            </w:r>
            <w:r>
              <w:rPr>
                <w:rFonts w:hint="eastAsia" w:ascii="宋体" w:hAnsi="宋体"/>
                <w:sz w:val="18"/>
                <w:szCs w:val="18"/>
                <w:vertAlign w:val="superscript"/>
              </w:rPr>
              <w:t>a</w:t>
            </w:r>
            <w:r>
              <w:rPr>
                <w:rFonts w:hint="eastAsia" w:ascii="宋体" w:hAnsi="宋体"/>
                <w:sz w:val="18"/>
                <w:szCs w:val="18"/>
              </w:rPr>
              <w:t>（10g/L溶液）</w:t>
            </w:r>
          </w:p>
        </w:tc>
        <w:tc>
          <w:tcPr>
            <w:tcW w:w="4785" w:type="dxa"/>
            <w:tcBorders>
              <w:top w:val="single" w:color="auto" w:sz="2" w:space="0"/>
              <w:left w:val="single" w:color="auto" w:sz="2" w:space="0"/>
              <w:bottom w:val="single" w:color="auto" w:sz="2" w:space="0"/>
              <w:right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8</w:t>
            </w:r>
            <w:r>
              <w:rPr>
                <w:rFonts w:hint="eastAsia" w:ascii="宋体" w:hAnsi="宋体" w:cs="宋体"/>
                <w:sz w:val="18"/>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570" w:type="dxa"/>
            <w:gridSpan w:val="2"/>
            <w:tcBorders>
              <w:top w:val="single" w:color="auto" w:sz="2" w:space="0"/>
              <w:left w:val="single" w:color="auto" w:sz="8" w:space="0"/>
              <w:bottom w:val="single" w:color="auto" w:sz="8" w:space="0"/>
              <w:right w:val="single" w:color="auto" w:sz="8" w:space="0"/>
            </w:tcBorders>
            <w:shd w:val="clear" w:color="auto" w:fill="auto"/>
          </w:tcPr>
          <w:p>
            <w:pPr>
              <w:pStyle w:val="117"/>
              <w:rPr>
                <w:rFonts w:hint="eastAsia" w:hAnsi="宋体"/>
              </w:rPr>
            </w:pPr>
            <w:r>
              <w:rPr>
                <w:rFonts w:hint="eastAsia"/>
              </w:rPr>
              <w:t>适用竹盐型氯化钠。</w:t>
            </w:r>
          </w:p>
        </w:tc>
      </w:tr>
    </w:tbl>
    <w:p>
      <w:pPr>
        <w:pStyle w:val="41"/>
      </w:pPr>
      <w:r>
        <w:rPr>
          <w:rFonts w:hint="eastAsia"/>
        </w:rPr>
        <w:t>试验方法</w:t>
      </w:r>
    </w:p>
    <w:p>
      <w:pPr>
        <w:pStyle w:val="38"/>
      </w:pPr>
      <w:r>
        <w:rPr>
          <w:rFonts w:hint="eastAsia"/>
        </w:rPr>
        <w:t>感官</w:t>
      </w:r>
    </w:p>
    <w:p>
      <w:pPr>
        <w:pStyle w:val="21"/>
      </w:pPr>
      <w:r>
        <w:rPr>
          <w:rFonts w:hint="eastAsia"/>
        </w:rPr>
        <w:t>取适量试样于白色衬底的表面皿或白瓷板上，在自然光线下，用目测观察其色泽和状态，鉴定是否含有可见性外来杂质，并嗅其气味。</w:t>
      </w:r>
    </w:p>
    <w:p>
      <w:pPr>
        <w:pStyle w:val="38"/>
      </w:pPr>
      <w:r>
        <w:rPr>
          <w:rFonts w:hint="eastAsia"/>
        </w:rPr>
        <w:t>氯离子</w:t>
      </w:r>
    </w:p>
    <w:p>
      <w:pPr>
        <w:pStyle w:val="21"/>
      </w:pPr>
      <w:r>
        <w:rPr>
          <w:rFonts w:hint="eastAsia"/>
        </w:rPr>
        <w:t>按GB/T 13025.5规定执行。</w:t>
      </w:r>
      <w:bookmarkStart w:id="25" w:name="_GoBack"/>
      <w:bookmarkEnd w:id="25"/>
    </w:p>
    <w:p>
      <w:pPr>
        <w:pStyle w:val="38"/>
      </w:pPr>
      <w:r>
        <w:rPr>
          <w:rFonts w:hint="eastAsia"/>
        </w:rPr>
        <w:t>钙、镁离子</w:t>
      </w:r>
    </w:p>
    <w:p>
      <w:pPr>
        <w:pStyle w:val="134"/>
        <w:ind w:firstLine="420"/>
      </w:pPr>
      <w:r>
        <w:t>按GB/T 13025.6</w:t>
      </w:r>
      <w:r>
        <w:rPr>
          <w:rFonts w:hint="eastAsia"/>
        </w:rPr>
        <w:t>规定执行</w:t>
      </w:r>
      <w:r>
        <w:t>。</w:t>
      </w:r>
    </w:p>
    <w:p>
      <w:pPr>
        <w:pStyle w:val="38"/>
      </w:pPr>
      <w:r>
        <w:rPr>
          <w:rFonts w:hint="eastAsia"/>
        </w:rPr>
        <w:t>硫酸根</w:t>
      </w:r>
    </w:p>
    <w:p>
      <w:pPr>
        <w:pStyle w:val="134"/>
        <w:ind w:firstLine="420"/>
      </w:pPr>
      <w:r>
        <w:t>按GB/T 13025.8</w:t>
      </w:r>
      <w:r>
        <w:rPr>
          <w:rFonts w:hint="eastAsia"/>
        </w:rPr>
        <w:t>规定执行</w:t>
      </w:r>
      <w:r>
        <w:t>。</w:t>
      </w:r>
    </w:p>
    <w:p>
      <w:pPr>
        <w:pStyle w:val="38"/>
      </w:pPr>
      <w:r>
        <w:rPr>
          <w:rFonts w:hint="eastAsia"/>
        </w:rPr>
        <w:t>化合物计算</w:t>
      </w:r>
    </w:p>
    <w:p>
      <w:pPr>
        <w:pStyle w:val="134"/>
        <w:ind w:firstLine="420"/>
      </w:pPr>
      <w:r>
        <w:rPr>
          <w:rFonts w:hint="eastAsia"/>
        </w:rPr>
        <w:t>按6.2、6.3、6.4给出的各离子含量，依据表3总给出的离子结合顺序，依次计算硫酸钙、硫酸镁、硫酸钠、氯化钙、氯化镁和氯化钠的含量。若以顺序号计算时，某种化合物因阴离子或阳离子不存在而不能形成，即依次以下一顺序号递补进行计算，计算结果保留至小数点后一位，取至第一位。</w:t>
      </w:r>
    </w:p>
    <w:p>
      <w:pPr>
        <w:pStyle w:val="122"/>
        <w:ind w:left="-142"/>
      </w:pPr>
      <w:r>
        <w:rPr>
          <w:rFonts w:hint="eastAsia"/>
        </w:rPr>
        <w:t>离子结合顺序</w:t>
      </w:r>
    </w:p>
    <w:tbl>
      <w:tblPr>
        <w:tblStyle w:val="29"/>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2515"/>
        <w:gridCol w:w="2835"/>
        <w:gridCol w:w="2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vMerge w:val="restart"/>
            <w:tcBorders>
              <w:top w:val="single" w:color="auto" w:sz="8" w:space="0"/>
              <w:left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阴离子</w:t>
            </w:r>
          </w:p>
        </w:tc>
        <w:tc>
          <w:tcPr>
            <w:tcW w:w="8292"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阳离子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vMerge w:val="continue"/>
            <w:tcBorders>
              <w:left w:val="single" w:color="auto" w:sz="8" w:space="0"/>
              <w:bottom w:val="single" w:color="auto" w:sz="8" w:space="0"/>
              <w:right w:val="single" w:color="auto" w:sz="8" w:space="0"/>
            </w:tcBorders>
            <w:vAlign w:val="center"/>
          </w:tcPr>
          <w:p>
            <w:pPr>
              <w:jc w:val="center"/>
              <w:rPr>
                <w:rFonts w:hint="eastAsia" w:ascii="宋体" w:hAnsi="宋体"/>
                <w:bCs/>
                <w:szCs w:val="32"/>
              </w:rPr>
            </w:pPr>
          </w:p>
        </w:tc>
        <w:tc>
          <w:tcPr>
            <w:tcW w:w="2515"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钙离子</w:t>
            </w:r>
          </w:p>
        </w:tc>
        <w:tc>
          <w:tcPr>
            <w:tcW w:w="2835"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镁离子</w:t>
            </w:r>
          </w:p>
        </w:tc>
        <w:tc>
          <w:tcPr>
            <w:tcW w:w="2942"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钠离子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tcBorders>
              <w:top w:val="single" w:color="auto" w:sz="8" w:space="0"/>
              <w:left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硫酸根</w:t>
            </w:r>
          </w:p>
        </w:tc>
        <w:tc>
          <w:tcPr>
            <w:tcW w:w="2515" w:type="dxa"/>
            <w:tcBorders>
              <w:top w:val="single" w:color="auto" w:sz="8" w:space="0"/>
              <w:left w:val="single" w:color="auto" w:sz="8" w:space="0"/>
            </w:tcBorders>
            <w:vAlign w:val="center"/>
          </w:tcPr>
          <w:p>
            <w:pPr>
              <w:jc w:val="center"/>
              <w:rPr>
                <w:rFonts w:hint="eastAsia" w:ascii="宋体" w:hAnsi="宋体"/>
                <w:bCs/>
                <w:szCs w:val="32"/>
              </w:rPr>
            </w:pPr>
            <w:r>
              <w:rPr>
                <w:rFonts w:hint="eastAsia" w:ascii="宋体" w:hAnsi="宋体"/>
                <w:bCs/>
                <w:szCs w:val="32"/>
              </w:rPr>
              <w:t>（1）硫酸钙</w:t>
            </w:r>
          </w:p>
        </w:tc>
        <w:tc>
          <w:tcPr>
            <w:tcW w:w="2835" w:type="dxa"/>
            <w:tcBorders>
              <w:top w:val="single" w:color="auto" w:sz="8" w:space="0"/>
            </w:tcBorders>
            <w:vAlign w:val="center"/>
          </w:tcPr>
          <w:p>
            <w:pPr>
              <w:jc w:val="center"/>
              <w:rPr>
                <w:rFonts w:hint="eastAsia" w:ascii="宋体" w:hAnsi="宋体"/>
                <w:bCs/>
                <w:szCs w:val="32"/>
              </w:rPr>
            </w:pPr>
            <w:r>
              <w:rPr>
                <w:rFonts w:hint="eastAsia" w:ascii="宋体" w:hAnsi="宋体"/>
                <w:bCs/>
                <w:szCs w:val="32"/>
              </w:rPr>
              <w:t>（2）硫酸镁</w:t>
            </w:r>
          </w:p>
        </w:tc>
        <w:tc>
          <w:tcPr>
            <w:tcW w:w="2942" w:type="dxa"/>
            <w:tcBorders>
              <w:top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（3）硫酸钠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tcBorders>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氯离子</w:t>
            </w:r>
          </w:p>
        </w:tc>
        <w:tc>
          <w:tcPr>
            <w:tcW w:w="2515" w:type="dxa"/>
            <w:tcBorders>
              <w:left w:val="single" w:color="auto" w:sz="8" w:space="0"/>
              <w:bottom w:val="single" w:color="auto" w:sz="8" w:space="0"/>
            </w:tcBorders>
            <w:vAlign w:val="center"/>
          </w:tcPr>
          <w:p>
            <w:pPr>
              <w:jc w:val="center"/>
              <w:rPr>
                <w:rFonts w:hint="eastAsia" w:ascii="宋体" w:hAnsi="宋体"/>
                <w:bCs/>
                <w:szCs w:val="32"/>
              </w:rPr>
            </w:pPr>
            <w:r>
              <w:rPr>
                <w:rFonts w:hint="eastAsia" w:ascii="宋体" w:hAnsi="宋体"/>
                <w:bCs/>
                <w:szCs w:val="32"/>
              </w:rPr>
              <w:t>（4）氯化钙</w:t>
            </w:r>
          </w:p>
        </w:tc>
        <w:tc>
          <w:tcPr>
            <w:tcW w:w="2835" w:type="dxa"/>
            <w:tcBorders>
              <w:bottom w:val="single" w:color="auto" w:sz="8" w:space="0"/>
            </w:tcBorders>
            <w:vAlign w:val="center"/>
          </w:tcPr>
          <w:p>
            <w:pPr>
              <w:jc w:val="center"/>
              <w:rPr>
                <w:rFonts w:hint="eastAsia" w:ascii="宋体" w:hAnsi="宋体"/>
                <w:bCs/>
                <w:szCs w:val="32"/>
              </w:rPr>
            </w:pPr>
            <w:r>
              <w:rPr>
                <w:rFonts w:hint="eastAsia" w:ascii="宋体" w:hAnsi="宋体"/>
                <w:bCs/>
                <w:szCs w:val="32"/>
              </w:rPr>
              <w:t>（5）氯化镁</w:t>
            </w:r>
          </w:p>
        </w:tc>
        <w:tc>
          <w:tcPr>
            <w:tcW w:w="2942" w:type="dxa"/>
            <w:tcBorders>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（6）氯化钠</w:t>
            </w:r>
          </w:p>
        </w:tc>
      </w:tr>
    </w:tbl>
    <w:p>
      <w:pPr>
        <w:pStyle w:val="38"/>
      </w:pPr>
      <w:r>
        <w:rPr>
          <w:rFonts w:hint="eastAsia"/>
        </w:rPr>
        <w:t>水分</w:t>
      </w:r>
    </w:p>
    <w:p>
      <w:pPr>
        <w:pStyle w:val="21"/>
      </w:pPr>
      <w:r>
        <w:rPr>
          <w:rFonts w:hint="eastAsia"/>
        </w:rPr>
        <w:t>按</w:t>
      </w:r>
      <w:r>
        <w:t>GB/T 13025.3-2012</w:t>
      </w:r>
      <w:r>
        <w:rPr>
          <w:rFonts w:hint="eastAsia"/>
        </w:rPr>
        <w:t>第2章的规定于140℃干燥恒重后，试样的水分含量为干燥失重和残留结晶水之和，按式（</w:t>
      </w:r>
      <w:r>
        <w:t>1</w:t>
      </w:r>
      <w:r>
        <w:rPr>
          <w:rFonts w:hint="eastAsia"/>
        </w:rPr>
        <w:t>）计算。</w:t>
      </w:r>
    </w:p>
    <w:p>
      <w:pPr>
        <w:pStyle w:val="123"/>
      </w:pPr>
      <w:bookmarkStart w:id="22" w:name="_Hlk184289949"/>
      <w:r>
        <w:tab/>
      </w:r>
      <m:oMath>
        <m:r>
          <m:rPr/>
          <w:rPr>
            <w:rFonts w:ascii="Cambria Math"/>
          </w:rPr>
          <m:t>ω=</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1</m:t>
            </m:r>
            <m:ctrlPr>
              <w:rPr>
                <w:rFonts w:ascii="Cambria Math" w:hAnsi="Cambria Math"/>
                <w:i/>
              </w:rPr>
            </m:ctrlPr>
          </m:sub>
        </m:sSub>
        <m:r>
          <m:rPr/>
          <w:rPr>
            <w:rFonts w:ascii="Cambria Math"/>
          </w:rPr>
          <m:t>+</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2</m:t>
            </m:r>
            <m:ctrlPr>
              <w:rPr>
                <w:rFonts w:ascii="Cambria Math" w:hAnsi="Cambria Math"/>
                <w:i/>
              </w:rPr>
            </m:ctrlPr>
          </m:sub>
        </m:sSub>
        <m:r>
          <m:rPr/>
          <w:rPr>
            <w:rFonts w:ascii="Cambria Math"/>
          </w:rPr>
          <m:t>×0.0662+</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3</m:t>
            </m:r>
            <m:ctrlPr>
              <w:rPr>
                <w:rFonts w:ascii="Cambria Math" w:hAnsi="Cambria Math"/>
                <w:i/>
              </w:rPr>
            </m:ctrlPr>
          </m:sub>
        </m:sSub>
        <m:r>
          <m:rPr/>
          <w:rPr>
            <w:rFonts w:ascii="Cambria Math"/>
          </w:rPr>
          <m:t>×0.1497+</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4</m:t>
            </m:r>
            <m:ctrlPr>
              <w:rPr>
                <w:rFonts w:ascii="Cambria Math" w:hAnsi="Cambria Math"/>
                <w:i/>
              </w:rPr>
            </m:ctrlPr>
          </m:sub>
        </m:sSub>
        <m:r>
          <m:rPr/>
          <w:rPr>
            <w:rFonts w:ascii="Cambria Math"/>
          </w:rPr>
          <m:t>×0.3246+</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5</m:t>
            </m:r>
            <m:ctrlPr>
              <w:rPr>
                <w:rFonts w:ascii="Cambria Math" w:hAnsi="Cambria Math"/>
                <w:i/>
              </w:rPr>
            </m:ctrlPr>
          </m:sub>
        </m:sSub>
        <m:r>
          <m:rPr/>
          <w:rPr>
            <w:rFonts w:ascii="Cambria Math"/>
          </w:rPr>
          <m:t>×0.3784</m:t>
        </m:r>
      </m:oMath>
      <w:r>
        <w:fldChar w:fldCharType="begin"/>
      </w:r>
      <w:r>
        <w:instrText xml:space="preserve"> QUOTE </w:instrText>
      </w:r>
      <m:oMath>
        <w:bookmarkStart w:id="23" w:name="_Hlk184290594"/>
        <m:r>
          <m:rPr>
            <m:sty m:val="p"/>
          </m:rPr>
          <w:rPr>
            <w:rFonts w:ascii="Cambria Math"/>
          </w:rPr>
          <m:t xml:space="preserve">ω=</m:t>
        </m:r>
        <m:sSub>
          <m:sSubPr>
            <m:ctrlPr>
              <w:rPr>
                <w:rFonts w:ascii="Cambria Math" w:hAnsi="Cambria Math"/>
                <w:i/>
              </w:rPr>
            </m:ctrlPr>
          </m:sSubPr>
          <m:e>
            <m:r>
              <m:rPr>
                <m:sty m:val="p"/>
              </m:rPr>
              <w:rPr>
                <w:rFonts w:ascii="Cambria Math"/>
              </w:rPr>
              <m:t xml:space="preserve">ω</m:t>
            </m:r>
            <m:ctrlPr>
              <w:rPr>
                <w:rFonts w:ascii="Cambria Math" w:hAnsi="Cambria Math"/>
                <w:i/>
              </w:rPr>
            </m:ctrlPr>
          </m:e>
          <m:sub>
            <m:r>
              <m:rPr>
                <m:sty m:val="p"/>
              </m:rPr>
              <w:rPr>
                <w:rFonts w:ascii="Cambria Math"/>
              </w:rPr>
              <m:t xml:space="preserve">1</m:t>
            </m:r>
            <m:ctrlPr>
              <w:rPr>
                <w:rFonts w:ascii="Cambria Math" w:hAnsi="Cambria Math"/>
                <w:i/>
              </w:rPr>
            </m:ctrlPr>
          </m:sub>
        </m:sSub>
        <m:r>
          <m:rPr>
            <m:sty m:val="p"/>
          </m:rPr>
          <w:rPr>
            <w:rFonts w:ascii="Cambria Math"/>
          </w:rPr>
          <m:t xml:space="preserve">+</m:t>
        </m:r>
        <m:sSub>
          <m:sSubPr>
            <m:ctrlPr>
              <w:rPr>
                <w:rFonts w:ascii="Cambria Math" w:hAnsi="Cambria Math"/>
                <w:i/>
              </w:rPr>
            </m:ctrlPr>
          </m:sSubPr>
          <m:e>
            <m:r>
              <m:rPr>
                <m:sty m:val="p"/>
              </m:rPr>
              <w:rPr>
                <w:rFonts w:ascii="Cambria Math"/>
              </w:rPr>
              <m:t xml:space="preserve">ω</m:t>
            </m:r>
            <m:ctrlPr>
              <w:rPr>
                <w:rFonts w:ascii="Cambria Math" w:hAnsi="Cambria Math"/>
                <w:i/>
              </w:rPr>
            </m:ctrlPr>
          </m:e>
          <m:sub>
            <m:r>
              <m:rPr>
                <m:sty m:val="p"/>
              </m:rPr>
              <w:rPr>
                <w:rFonts w:ascii="Cambria Math"/>
              </w:rPr>
              <m:t xml:space="preserve">2</m:t>
            </m:r>
            <m:ctrlPr>
              <w:rPr>
                <w:rFonts w:ascii="Cambria Math" w:hAnsi="Cambria Math"/>
                <w:i/>
              </w:rPr>
            </m:ctrlPr>
          </m:sub>
        </m:sSub>
        <m:r>
          <m:rPr>
            <m:sty m:val="p"/>
          </m:rPr>
          <w:rPr>
            <w:rFonts w:ascii="Cambria Math"/>
          </w:rPr>
          <m:t xml:space="preserve">×0.0662+</m:t>
        </m:r>
        <m:sSub>
          <m:sSubPr>
            <m:ctrlPr>
              <w:rPr>
                <w:rFonts w:ascii="Cambria Math" w:hAnsi="Cambria Math"/>
                <w:i/>
              </w:rPr>
            </m:ctrlPr>
          </m:sSubPr>
          <m:e>
            <m:r>
              <m:rPr>
                <m:sty m:val="p"/>
              </m:rPr>
              <w:rPr>
                <w:rFonts w:ascii="Cambria Math"/>
              </w:rPr>
              <m:t xml:space="preserve">ω</m:t>
            </m:r>
            <m:ctrlPr>
              <w:rPr>
                <w:rFonts w:ascii="Cambria Math" w:hAnsi="Cambria Math"/>
                <w:i/>
              </w:rPr>
            </m:ctrlPr>
          </m:e>
          <m:sub>
            <m:r>
              <m:rPr>
                <m:sty m:val="p"/>
              </m:rPr>
              <w:rPr>
                <w:rFonts w:ascii="Cambria Math"/>
              </w:rPr>
              <m:t xml:space="preserve">3</m:t>
            </m:r>
            <m:ctrlPr>
              <w:rPr>
                <w:rFonts w:ascii="Cambria Math" w:hAnsi="Cambria Math"/>
                <w:i/>
              </w:rPr>
            </m:ctrlPr>
          </m:sub>
        </m:sSub>
        <m:r>
          <m:rPr>
            <m:sty m:val="p"/>
          </m:rPr>
          <w:rPr>
            <w:rFonts w:ascii="Cambria Math"/>
          </w:rPr>
          <m:t xml:space="preserve">×0.1497+</m:t>
        </m:r>
        <m:sSub>
          <m:sSubPr>
            <m:ctrlPr>
              <w:rPr>
                <w:rFonts w:ascii="Cambria Math" w:hAnsi="Cambria Math"/>
                <w:i/>
              </w:rPr>
            </m:ctrlPr>
          </m:sSubPr>
          <m:e>
            <m:r>
              <m:rPr>
                <m:sty m:val="p"/>
              </m:rPr>
              <w:rPr>
                <w:rFonts w:ascii="Cambria Math"/>
              </w:rPr>
              <m:t xml:space="preserve">ω</m:t>
            </m:r>
            <m:ctrlPr>
              <w:rPr>
                <w:rFonts w:ascii="Cambria Math" w:hAnsi="Cambria Math"/>
                <w:i/>
              </w:rPr>
            </m:ctrlPr>
          </m:e>
          <m:sub>
            <m:r>
              <m:rPr>
                <m:sty m:val="p"/>
              </m:rPr>
              <w:rPr>
                <w:rFonts w:ascii="Cambria Math"/>
              </w:rPr>
              <m:t xml:space="preserve">4</m:t>
            </m:r>
            <m:ctrlPr>
              <w:rPr>
                <w:rFonts w:ascii="Cambria Math" w:hAnsi="Cambria Math"/>
                <w:i/>
              </w:rPr>
            </m:ctrlPr>
          </m:sub>
        </m:sSub>
        <m:r>
          <m:rPr>
            <m:sty m:val="p"/>
          </m:rPr>
          <w:rPr>
            <w:rFonts w:ascii="Cambria Math"/>
          </w:rPr>
          <m:t xml:space="preserve">×0.3246+</m:t>
        </m:r>
        <m:sSub>
          <m:sSubPr>
            <m:ctrlPr>
              <w:rPr>
                <w:rFonts w:ascii="Cambria Math" w:hAnsi="Cambria Math"/>
                <w:i/>
              </w:rPr>
            </m:ctrlPr>
          </m:sSubPr>
          <m:e>
            <m:r>
              <m:rPr>
                <m:sty m:val="p"/>
              </m:rPr>
              <w:rPr>
                <w:rFonts w:ascii="Cambria Math"/>
              </w:rPr>
              <m:t xml:space="preserve">ω</m:t>
            </m:r>
            <m:ctrlPr>
              <w:rPr>
                <w:rFonts w:ascii="Cambria Math" w:hAnsi="Cambria Math"/>
                <w:i/>
              </w:rPr>
            </m:ctrlPr>
          </m:e>
          <m:sub>
            <m:r>
              <m:rPr>
                <m:sty m:val="p"/>
              </m:rPr>
              <w:rPr>
                <w:rFonts w:ascii="Cambria Math"/>
              </w:rPr>
              <m:t xml:space="preserve">5</m:t>
            </m:r>
            <m:ctrlPr>
              <w:rPr>
                <w:rFonts w:ascii="Cambria Math" w:hAnsi="Cambria Math"/>
                <w:i/>
              </w:rPr>
            </m:ctrlPr>
          </m:sub>
        </m:sSub>
        <m:r>
          <m:rPr>
            <m:sty m:val="p"/>
          </m:rPr>
          <w:rPr>
            <w:rFonts w:ascii="Cambria Math"/>
          </w:rPr>
          <m:t xml:space="preserve">×0.3784</m:t>
        </m:r>
      </m:oMath>
      <w:bookmarkEnd w:id="23"/>
      <w:r>
        <w:instrText xml:space="preserve"> </w:instrText>
      </w:r>
      <w:r>
        <w:fldChar w:fldCharType="separate"/>
      </w:r>
      <w:r>
        <w:fldChar w:fldCharType="end"/>
      </w:r>
      <w:r>
        <w:fldChar w:fldCharType="begin"/>
      </w:r>
      <w:r>
        <w:instrText xml:space="preserve"> QUOTE </w:instrText>
      </w:r>
      <w:r>
        <w:rPr>
          <w:position w:val="-8"/>
        </w:rPr>
        <w:pict>
          <v:shape id="_x0000_i1025" o:spt="75" type="#_x0000_t75" style="height:16.1pt;width:30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sdtfl=&quot;http://schemas.microsoft.com/office/word/2024/wordml/sdtformatlock&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7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586F&quot;/&gt;&lt;wsp:rsid wsp:val=&quot;000076A3&quot;/&gt;&lt;wsp:rsid wsp:val=&quot;00013D86&quot;/&gt;&lt;wsp:rsid wsp:val=&quot;00013E02&quot;/&gt;&lt;wsp:rsid wsp:val=&quot;0002143C&quot;/&gt;&lt;wsp:rsid wsp:val=&quot;00025A65&quot;/&gt;&lt;wsp:rsid wsp:val=&quot;00026C31&quot;/&gt;&lt;wsp:rsid wsp:val=&quot;00027280&quot;/&gt;&lt;wsp:rsid wsp:val=&quot;000320A7&quot;/&gt;&lt;wsp:rsid wsp:val=&quot;00035925&quot;/&gt;&lt;wsp:rsid wsp:val=&quot;00067CDF&quot;/&gt;&lt;wsp:rsid wsp:val=&quot;00074FBE&quot;/&gt;&lt;wsp:rsid wsp:val=&quot;00083A09&quot;/&gt;&lt;wsp:rsid wsp:val=&quot;0009005E&quot;/&gt;&lt;wsp:rsid wsp:val=&quot;00092857&quot;/&gt;&lt;wsp:rsid wsp:val=&quot;000A20A9&quot;/&gt;&lt;wsp:rsid wsp:val=&quot;000A48B1&quot;/&gt;&lt;wsp:rsid wsp:val=&quot;000B3143&quot;/&gt;&lt;wsp:rsid wsp:val=&quot;000C6B05&quot;/&gt;&lt;wsp:rsid wsp:val=&quot;000C6DD6&quot;/&gt;&lt;wsp:rsid wsp:val=&quot;000C73D4&quot;/&gt;&lt;wsp:rsid wsp:val=&quot;000D3D4C&quot;/&gt;&lt;wsp:rsid wsp:val=&quot;000D4F51&quot;/&gt;&lt;wsp:rsid wsp:val=&quot;000D718B&quot;/&gt;&lt;wsp:rsid wsp:val=&quot;000E0C46&quot;/&gt;&lt;wsp:rsid wsp:val=&quot;000F030C&quot;/&gt;&lt;wsp:rsid wsp:val=&quot;000F129C&quot;/&gt;&lt;wsp:rsid wsp:val=&quot;001047BB&quot;/&gt;&lt;wsp:rsid wsp:val=&quot;001056DE&quot;/&gt;&lt;wsp:rsid wsp:val=&quot;001124C0&quot;/&gt;&lt;wsp:rsid wsp:val=&quot;0013175F&quot;/&gt;&lt;wsp:rsid wsp:val=&quot;001512B4&quot;/&gt;&lt;wsp:rsid wsp:val=&quot;001620A5&quot;/&gt;&lt;wsp:rsid wsp:val=&quot;00164E53&quot;/&gt;&lt;wsp:rsid wsp:val=&quot;0016699D&quot;/&gt;&lt;wsp:rsid wsp:val=&quot;00175159&quot;/&gt;&lt;wsp:rsid wsp:val=&quot;00176208&quot;/&gt;&lt;wsp:rsid wsp:val=&quot;0018211B&quot;/&gt;&lt;wsp:rsid wsp:val=&quot;001840D3&quot;/&gt;&lt;wsp:rsid wsp:val=&quot;001900F8&quot;/&gt;&lt;wsp:rsid wsp:val=&quot;00191258&quot;/&gt;&lt;wsp:rsid wsp:val=&quot;00192680&quot;/&gt;&lt;wsp:rsid wsp:val=&quot;00193037&quot;/&gt;&lt;wsp:rsid wsp:val=&quot;00193A2C&quot;/&gt;&lt;wsp:rsid wsp:val=&quot;001A288E&quot;/&gt;&lt;wsp:rsid wsp:val=&quot;001B6DC2&quot;/&gt;&lt;wsp:rsid wsp:val=&quot;001C149C&quot;/&gt;&lt;wsp:rsid wsp:val=&quot;001C21AC&quot;/&gt;&lt;wsp:rsid wsp:val=&quot;001C47BA&quot;/&gt;&lt;wsp:rsid wsp:val=&quot;001C59EA&quot;/&gt;&lt;wsp:rsid wsp:val=&quot;001D406C&quot;/&gt;&lt;wsp:rsid wsp:val=&quot;001D41EE&quot;/&gt;&lt;wsp:rsid wsp:val=&quot;001E0380&quot;/&gt;&lt;wsp:rsid wsp:val=&quot;001E13B1&quot;/&gt;&lt;wsp:rsid wsp:val=&quot;001E5C3E&quot;/&gt;&lt;wsp:rsid wsp:val=&quot;001E681D&quot;/&gt;&lt;wsp:rsid wsp:val=&quot;001F3A19&quot;/&gt;&lt;wsp:rsid wsp:val=&quot;001F4A35&quot;/&gt;&lt;wsp:rsid wsp:val=&quot;00234467&quot;/&gt;&lt;wsp:rsid wsp:val=&quot;00237D8D&quot;/&gt;&lt;wsp:rsid wsp:val=&quot;00241DA2&quot;/&gt;&lt;wsp:rsid wsp:val=&quot;00244435&quot;/&gt;&lt;wsp:rsid wsp:val=&quot;00247FEE&quot;/&gt;&lt;wsp:rsid wsp:val=&quot;00250E7D&quot;/&gt;&lt;wsp:rsid wsp:val=&quot;002565D5&quot;/&gt;&lt;wsp:rsid wsp:val=&quot;002622C0&quot;/&gt;&lt;wsp:rsid wsp:val=&quot;002778AE&quot;/&gt;&lt;wsp:rsid wsp:val=&quot;0028269A&quot;/&gt;&lt;wsp:rsid wsp:val=&quot;00283590&quot;/&gt;&lt;wsp:rsid wsp:val=&quot;00286973&quot;/&gt;&lt;wsp:rsid wsp:val=&quot;00294E70&quot;/&gt;&lt;wsp:rsid wsp:val=&quot;002A1924&quot;/&gt;&lt;wsp:rsid wsp:val=&quot;002A7420&quot;/&gt;&lt;wsp:rsid wsp:val=&quot;002B0F12&quot;/&gt;&lt;wsp:rsid wsp:val=&quot;002B1308&quot;/&gt;&lt;wsp:rsid wsp:val=&quot;002B4554&quot;/&gt;&lt;wsp:rsid wsp:val=&quot;002C72D8&quot;/&gt;&lt;wsp:rsid wsp:val=&quot;002D11FA&quot;/&gt;&lt;wsp:rsid wsp:val=&quot;002E0DDF&quot;/&gt;&lt;wsp:rsid wsp:val=&quot;002E1FB1&quot;/&gt;&lt;wsp:rsid wsp:val=&quot;002E2906&quot;/&gt;&lt;wsp:rsid wsp:val=&quot;002E5635&quot;/&gt;&lt;wsp:rsid wsp:val=&quot;002E64C3&quot;/&gt;&lt;wsp:rsid wsp:val=&quot;002E6A2C&quot;/&gt;&lt;wsp:rsid wsp:val=&quot;002F1D8C&quot;/&gt;&lt;wsp:rsid wsp:val=&quot;002F21DA&quot;/&gt;&lt;wsp:rsid wsp:val=&quot;002F74B2&quot;/&gt;&lt;wsp:rsid wsp:val=&quot;00301F39&quot;/&gt;&lt;wsp:rsid wsp:val=&quot;00305F1A&quot;/&gt;&lt;wsp:rsid wsp:val=&quot;00325926&quot;/&gt;&lt;wsp:rsid wsp:val=&quot;00327A8A&quot;/&gt;&lt;wsp:rsid wsp:val=&quot;00333436&quot;/&gt;&lt;wsp:rsid wsp:val=&quot;00336610&quot;/&gt;&lt;wsp:rsid wsp:val=&quot;00343F73&quot;/&gt;&lt;wsp:rsid wsp:val=&quot;00345060&quot;/&gt;&lt;wsp:rsid wsp:val=&quot;0035323B&quot;/&gt;&lt;wsp:rsid wsp:val=&quot;003609D2&quot;/&gt;&lt;wsp:rsid wsp:val=&quot;00363F22&quot;/&gt;&lt;wsp:rsid wsp:val=&quot;00375564&quot;/&gt;&lt;wsp:rsid wsp:val=&quot;00383191&quot;/&gt;&lt;wsp:rsid wsp:val=&quot;00386DED&quot;/&gt;&lt;wsp:rsid wsp:val=&quot;003912E7&quot;/&gt;&lt;wsp:rsid wsp:val=&quot;00393947&quot;/&gt;&lt;wsp:rsid wsp:val=&quot;003969B3&quot;/&gt;&lt;wsp:rsid wsp:val=&quot;003A2275&quot;/&gt;&lt;wsp:rsid wsp:val=&quot;003A6A4F&quot;/&gt;&lt;wsp:rsid wsp:val=&quot;003A7088&quot;/&gt;&lt;wsp:rsid wsp:val=&quot;003B00DF&quot;/&gt;&lt;wsp:rsid wsp:val=&quot;003B1275&quot;/&gt;&lt;wsp:rsid wsp:val=&quot;003B1778&quot;/&gt;&lt;wsp:rsid wsp:val=&quot;003C11CB&quot;/&gt;&lt;wsp:rsid wsp:val=&quot;003C18B7&quot;/&gt;&lt;wsp:rsid wsp:val=&quot;003C75F3&quot;/&gt;&lt;wsp:rsid wsp:val=&quot;003C78A3&quot;/&gt;&lt;wsp:rsid wsp:val=&quot;003E1867&quot;/&gt;&lt;wsp:rsid wsp:val=&quot;003E5729&quot;/&gt;&lt;wsp:rsid wsp:val=&quot;003F4EE0&quot;/&gt;&lt;wsp:rsid wsp:val=&quot;00402153&quot;/&gt;&lt;wsp:rsid wsp:val=&quot;00402FC1&quot;/&gt;&lt;wsp:rsid wsp:val=&quot;0041783D&quot;/&gt;&lt;wsp:rsid wsp:val=&quot;00425082&quot;/&gt;&lt;wsp:rsid wsp:val=&quot;00431DEB&quot;/&gt;&lt;wsp:rsid wsp:val=&quot;00446B29&quot;/&gt;&lt;wsp:rsid wsp:val=&quot;00453F9A&quot;/&gt;&lt;wsp:rsid wsp:val=&quot;00471E91&quot;/&gt;&lt;wsp:rsid wsp:val=&quot;00474675&quot;/&gt;&lt;wsp:rsid wsp:val=&quot;0047470C&quot;/&gt;&lt;wsp:rsid wsp:val=&quot;00497D2C&quot;/&gt;&lt;wsp:rsid wsp:val=&quot;004A35F9&quot;/&gt;&lt;wsp:rsid wsp:val=&quot;004B24C1&quot;/&gt;&lt;wsp:rsid wsp:val=&quot;004B36E8&quot;/&gt;&lt;wsp:rsid wsp:val=&quot;004C292F&quot;/&gt;&lt;wsp:rsid wsp:val=&quot;004F0284&quot;/&gt;&lt;wsp:rsid wsp:val=&quot;004F208F&quot;/&gt;&lt;wsp:rsid wsp:val=&quot;00510280&quot;/&gt;&lt;wsp:rsid wsp:val=&quot;00513D73&quot;/&gt;&lt;wsp:rsid wsp:val=&quot;00514A43&quot;/&gt;&lt;wsp:rsid wsp:val=&quot;005174E5&quot;/&gt;&lt;wsp:rsid wsp:val=&quot;00521CE8&quot;/&gt;&lt;wsp:rsid wsp:val=&quot;00522393&quot;/&gt;&lt;wsp:rsid wsp:val=&quot;00522620&quot;/&gt;&lt;wsp:rsid wsp:val=&quot;00525656&quot;/&gt;&lt;wsp:rsid wsp:val=&quot;00534C02&quot;/&gt;&lt;wsp:rsid wsp:val=&quot;005359E7&quot;/&gt;&lt;wsp:rsid wsp:val=&quot;0054264B&quot;/&gt;&lt;wsp:rsid wsp:val=&quot;00543786&quot;/&gt;&lt;wsp:rsid wsp:val=&quot;005533D7&quot;/&gt;&lt;wsp:rsid wsp:val=&quot;005703DE&quot;/&gt;&lt;wsp:rsid wsp:val=&quot;0058464E&quot;/&gt;&lt;wsp:rsid wsp:val=&quot;005854F3&quot;/&gt;&lt;wsp:rsid wsp:val=&quot;005A01CB&quot;/&gt;&lt;wsp:rsid wsp:val=&quot;005A3249&quot;/&gt;&lt;wsp:rsid wsp:val=&quot;005A58FF&quot;/&gt;&lt;wsp:rsid wsp:val=&quot;005A5EAF&quot;/&gt;&lt;wsp:rsid wsp:val=&quot;005A64C0&quot;/&gt;&lt;wsp:rsid wsp:val=&quot;005B3C11&quot;/&gt;&lt;wsp:rsid wsp:val=&quot;005C1C28&quot;/&gt;&lt;wsp:rsid wsp:val=&quot;005C6DB5&quot;/&gt;&lt;wsp:rsid wsp:val=&quot;005E19E7&quot;/&gt;&lt;wsp:rsid wsp:val=&quot;0061716C&quot;/&gt;&lt;wsp:rsid wsp:val=&quot;006243A1&quot;/&gt;&lt;wsp:rsid wsp:val=&quot;00632E56&quot;/&gt;&lt;wsp:rsid wsp:val=&quot;00635CBA&quot;/&gt;&lt;wsp:rsid wsp:val=&quot;0064338B&quot;/&gt;&lt;wsp:rsid wsp:val=&quot;00646542&quot;/&gt;&lt;wsp:rsid wsp:val=&quot;006504F4&quot;/&gt;&lt;wsp:rsid wsp:val=&quot;00654BC9&quot;/&gt;&lt;wsp:rsid wsp:val=&quot;006552FD&quot;/&gt;&lt;wsp:rsid wsp:val=&quot;00663AF3&quot;/&gt;&lt;wsp:rsid wsp:val=&quot;00666B6C&quot;/&gt;&lt;wsp:rsid wsp:val=&quot;00682682&quot;/&gt;&lt;wsp:rsid wsp:val=&quot;00682702&quot;/&gt;&lt;wsp:rsid wsp:val=&quot;00692368&quot;/&gt;&lt;wsp:rsid wsp:val=&quot;006A2EBC&quot;/&gt;&lt;wsp:rsid wsp:val=&quot;006A5EA0&quot;/&gt;&lt;wsp:rsid wsp:val=&quot;006A783B&quot;/&gt;&lt;wsp:rsid wsp:val=&quot;006A7B33&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4A7F&quot;/&gt;&lt;wsp:rsid wsp:val=&quot;00704DF6&quot;/&gt;&lt;wsp:rsid wsp:val=&quot;00705C97&quot;/&gt;&lt;wsp:rsid wsp:val=&quot;0070651C&quot;/&gt;&lt;wsp:rsid wsp:val=&quot;007132A3&quot;/&gt;&lt;wsp:rsid wsp:val=&quot;00716421&quot;/&gt;&lt;wsp:rsid wsp:val=&quot;00724EFB&quot;/&gt;&lt;wsp:rsid wsp:val=&quot;007419C3&quot;/&gt;&lt;wsp:rsid wsp:val=&quot;007467A7&quot;/&gt;&lt;wsp:rsid wsp:val=&quot;007469DD&quot;/&gt;&lt;wsp:rsid wsp:val=&quot;0074741B&quot;/&gt;&lt;wsp:rsid wsp:val=&quot;0074759E&quot;/&gt;&lt;wsp:rsid wsp:val=&quot;007478EA&quot;/&gt;&lt;wsp:rsid wsp:val=&quot;0075415C&quot;/&gt;&lt;wsp:rsid wsp:val=&quot;007575DC&quot;/&gt;&lt;wsp:rsid wsp:val=&quot;00763502&quot;/&gt;&lt;wsp:rsid wsp:val=&quot;007913AB&quot;/&gt;&lt;wsp:rsid wsp:val=&quot;007914F7&quot;/&gt;&lt;wsp:rsid wsp:val=&quot;007B1625&quot;/&gt;&lt;wsp:rsid wsp:val=&quot;007B706E&quot;/&gt;&lt;wsp:rsid wsp:val=&quot;007B71EB&quot;/&gt;&lt;wsp:rsid wsp:val=&quot;007C6205&quot;/&gt;&lt;wsp:rsid wsp:val=&quot;007C686A&quot;/&gt;&lt;wsp:rsid wsp:val=&quot;007C728E&quot;/&gt;&lt;wsp:rsid wsp:val=&quot;007D2C53&quot;/&gt;&lt;wsp:rsid wsp:val=&quot;007D3D60&quot;/&gt;&lt;wsp:rsid wsp:val=&quot;007E1980&quot;/&gt;&lt;wsp:rsid wsp:val=&quot;007E4B76&quot;/&gt;&lt;wsp:rsid wsp:val=&quot;007E5EA8&quot;/&gt;&lt;wsp:rsid wsp:val=&quot;007F0CF1&quot;/&gt;&lt;wsp:rsid wsp:val=&quot;007F12A5&quot;/&gt;&lt;wsp:rsid wsp:val=&quot;007F4CF1&quot;/&gt;&lt;wsp:rsid wsp:val=&quot;007F6B79&quot;/&gt;&lt;wsp:rsid wsp:val=&quot;007F758D&quot;/&gt;&lt;wsp:rsid wsp:val=&quot;007F7D52&quot;/&gt;&lt;wsp:rsid wsp:val=&quot;0080654C&quot;/&gt;&lt;wsp:rsid wsp:val=&quot;008071C6&quot;/&gt;&lt;wsp:rsid wsp:val=&quot;00817A00&quot;/&gt;&lt;wsp:rsid wsp:val=&quot;00835DB3&quot;/&gt;&lt;wsp:rsid wsp:val=&quot;0083617B&quot;/&gt;&lt;wsp:rsid wsp:val=&quot;008371BD&quot;/&gt;&lt;wsp:rsid wsp:val=&quot;008472C4&quot;/&gt;&lt;wsp:rsid wsp:val=&quot;008504A8&quot;/&gt;&lt;wsp:rsid wsp:val=&quot;0085282E&quot;/&gt;&lt;wsp:rsid wsp:val=&quot;00863408&quot;/&gt;&lt;wsp:rsid wsp:val=&quot;0087198C&quot;/&gt;&lt;wsp:rsid wsp:val=&quot;00872C1F&quot;/&gt;&lt;wsp:rsid wsp:val=&quot;00873B42&quot;/&gt;&lt;wsp:rsid wsp:val=&quot;008856D8&quot;/&gt;&lt;wsp:rsid wsp:val=&quot;00892E82&quot;/&gt;&lt;wsp:rsid wsp:val=&quot;008C1B58&quot;/&gt;&lt;wsp:rsid wsp:val=&quot;008C39AE&quot;/&gt;&lt;wsp:rsid wsp:val=&quot;008C3F88&quot;/&gt;&lt;wsp:rsid wsp:val=&quot;008C590D&quot;/&gt;&lt;wsp:rsid wsp:val=&quot;008D4EA1&quot;/&gt;&lt;wsp:rsid wsp:val=&quot;008E031B&quot;/&gt;&lt;wsp:rsid wsp:val=&quot;008E7029&quot;/&gt;&lt;wsp:rsid wsp:val=&quot;008E7EF6&quot;/&gt;&lt;wsp:rsid wsp:val=&quot;008F1F98&quot;/&gt;&lt;wsp:rsid wsp:val=&quot;008F6758&quot;/&gt;&lt;wsp:rsid wsp:val=&quot;009040DD&quot;/&gt;&lt;wsp:rsid wsp:val=&quot;00905B47&quot;/&gt;&lt;wsp:rsid wsp:val=&quot;0091331C&quot;/&gt;&lt;wsp:rsid wsp:val=&quot;009279DE&quot;/&gt;&lt;wsp:rsid wsp:val=&quot;00930116&quot;/&gt;&lt;wsp:rsid wsp:val=&quot;0094212C&quot;/&gt;&lt;wsp:rsid wsp:val=&quot;00954689&quot;/&gt;&lt;wsp:rsid wsp:val=&quot;009617C9&quot;/&gt;&lt;wsp:rsid wsp:val=&quot;00961C93&quot;/&gt;&lt;wsp:rsid wsp:val=&quot;00962720&quot;/&gt;&lt;wsp:rsid wsp:val=&quot;00965324&quot;/&gt;&lt;wsp:rsid wsp:val=&quot;0097091E&quot;/&gt;&lt;wsp:rsid wsp:val=&quot;009760D3&quot;/&gt;&lt;wsp:rsid wsp:val=&quot;00977132&quot;/&gt;&lt;wsp:rsid wsp:val=&quot;00981A4B&quot;/&gt;&lt;wsp:rsid wsp:val=&quot;00982501&quot;/&gt;&lt;wsp:rsid wsp:val=&quot;009877D3&quot;/&gt;&lt;wsp:rsid wsp:val=&quot;00994E8F&quot;/&gt;&lt;wsp:rsid wsp:val=&quot;009951DC&quot;/&gt;&lt;wsp:rsid wsp:val=&quot;009959BB&quot;/&gt;&lt;wsp:rsid wsp:val=&quot;00997158&quot;/&gt;&lt;wsp:rsid wsp:val=&quot;009A3A7C&quot;/&gt;&lt;wsp:rsid wsp:val=&quot;009B2ADB&quot;/&gt;&lt;wsp:rsid wsp:val=&quot;009B603A&quot;/&gt;&lt;wsp:rsid wsp:val=&quot;009C2D0E&quot;/&gt;&lt;wsp:rsid wsp:val=&quot;009C3DAC&quot;/&gt;&lt;wsp:rsid wsp:val=&quot;009C42E0&quot;/&gt;&lt;wsp:rsid wsp:val=&quot;009D5362&quot;/&gt;&lt;wsp:rsid wsp:val=&quot;009E1415&quot;/&gt;&lt;wsp:rsid wsp:val=&quot;009E6116&quot;/&gt;&lt;wsp:rsid wsp:val=&quot;00A02E43&quot;/&gt;&lt;wsp:rsid wsp:val=&quot;00A065F9&quot;/&gt;&lt;wsp:rsid wsp:val=&quot;00A07F34&quot;/&gt;&lt;wsp:rsid wsp:val=&quot;00A22154&quot;/&gt;&lt;wsp:rsid wsp:val=&quot;00A25C38&quot;/&gt;&lt;wsp:rsid wsp:val=&quot;00A36BBE&quot;/&gt;&lt;wsp:rsid wsp:val=&quot;00A4307A&quot;/&gt;&lt;wsp:rsid wsp:val=&quot;00A43B09&quot;/&gt;&lt;wsp:rsid wsp:val=&quot;00A47EBB&quot;/&gt;&lt;wsp:rsid wsp:val=&quot;00A51CDD&quot;/&gt;&lt;wsp:rsid wsp:val=&quot;00A571FA&quot;/&gt;&lt;wsp:rsid wsp:val=&quot;00A6730D&quot;/&gt;&lt;wsp:rsid wsp:val=&quot;00A71625&quot;/&gt;&lt;wsp:rsid wsp:val=&quot;00A71B9B&quot;/&gt;&lt;wsp:rsid wsp:val=&quot;00A751C7&quot;/&gt;&lt;wsp:rsid wsp:val=&quot;00A87844&quot;/&gt;&lt;wsp:rsid wsp:val=&quot;00AA038C&quot;/&gt;&lt;wsp:rsid wsp:val=&quot;00AA7A09&quot;/&gt;&lt;wsp:rsid wsp:val=&quot;00AB3B50&quot;/&gt;&lt;wsp:rsid wsp:val=&quot;00AC05B1&quot;/&gt;&lt;wsp:rsid wsp:val=&quot;00AD356C&quot;/&gt;&lt;wsp:rsid wsp:val=&quot;00AE2914&quot;/&gt;&lt;wsp:rsid wsp:val=&quot;00AE5395&quot;/&gt;&lt;wsp:rsid wsp:val=&quot;00AE6D15&quot;/&gt;&lt;wsp:rsid wsp:val=&quot;00B04182&quot;/&gt;&lt;wsp:rsid wsp:val=&quot;00B07AE3&quot;/&gt;&lt;wsp:rsid wsp:val=&quot;00B11430&quot;/&gt;&lt;wsp:rsid wsp:val=&quot;00B353EB&quot;/&gt;&lt;wsp:rsid wsp:val=&quot;00B4228B&quot;/&gt;&lt;wsp:rsid wsp:val=&quot;00B439C4&quot;/&gt;&lt;wsp:rsid wsp:val=&quot;00B4535E&quot;/&gt;&lt;wsp:rsid wsp:val=&quot;00B5230C&quot;/&gt;&lt;wsp:rsid wsp:val=&quot;00B52A8C&quot;/&gt;&lt;wsp:rsid wsp:val=&quot;00B636A8&quot;/&gt;&lt;wsp:rsid wsp:val=&quot;00B665C6&quot;/&gt;&lt;wsp:rsid wsp:val=&quot;00B66EE1&quot;/&gt;&lt;wsp:rsid wsp:val=&quot;00B805AF&quot;/&gt;&lt;wsp:rsid wsp:val=&quot;00B869EC&quot;/&gt;&lt;wsp:rsid wsp:val=&quot;00B9135E&quot;/&gt;&lt;wsp:rsid wsp:val=&quot;00B9397A&quot;/&gt;&lt;wsp:rsid wsp:val=&quot;00B9633D&quot;/&gt;&lt;wsp:rsid wsp:val=&quot;00BA2EBE&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55CB&quot;/&gt;&lt;wsp:rsid wsp:val=&quot;00BF617A&quot;/&gt;&lt;wsp:rsid wsp:val=&quot;00C0379D&quot;/&gt;&lt;wsp:rsid wsp:val=&quot;00C03931&quot;/&gt;&lt;wsp:rsid wsp:val=&quot;00C05FE3&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4E1&quot;/&gt;&lt;wsp:rsid wsp:val=&quot;00C31DA9&quot;/&gt;&lt;wsp:rsid wsp:val=&quot;00C34397&quot;/&gt;&lt;wsp:rsid wsp:val=&quot;00C4095D&quot;/&gt;&lt;wsp:rsid wsp:val=&quot;00C601D2&quot;/&gt;&lt;wsp:rsid wsp:val=&quot;00C657AB&quot;/&gt;&lt;wsp:rsid wsp:val=&quot;00C65BCC&quot;/&gt;&lt;wsp:rsid wsp:val=&quot;00C66970&quot;/&gt;&lt;wsp:rsid wsp:val=&quot;00C8691C&quot;/&gt;&lt;wsp:rsid wsp:val=&quot;00CA168A&quot;/&gt;&lt;wsp:rsid wsp:val=&quot;00CA357E&quot;/&gt;&lt;wsp:rsid wsp:val=&quot;00CA44F9&quot;/&gt;&lt;wsp:rsid wsp:val=&quot;00CA4A69&quot;/&gt;&lt;wsp:rsid wsp:val=&quot;00CC3E0C&quot;/&gt;&lt;wsp:rsid wsp:val=&quot;00CC58D3&quot;/&gt;&lt;wsp:rsid wsp:val=&quot;00CC784D&quot;/&gt;&lt;wsp:rsid wsp:val=&quot;00CC79B1&quot;/&gt;&lt;wsp:rsid wsp:val=&quot;00CE39AE&quot;/&gt;&lt;wsp:rsid wsp:val=&quot;00D0337B&quot;/&gt;&lt;wsp:rsid wsp:val=&quot;00D079B2&quot;/&gt;&lt;wsp:rsid wsp:val=&quot;00D114E9&quot;/&gt;&lt;wsp:rsid wsp:val=&quot;00D17371&quot;/&gt;&lt;wsp:rsid wsp:val=&quot;00D429C6&quot;/&gt;&lt;wsp:rsid wsp:val=&quot;00D47748&quot;/&gt;&lt;wsp:rsid wsp:val=&quot;00D54CC3&quot;/&gt;&lt;wsp:rsid wsp:val=&quot;00D6041A&quot;/&gt;&lt;wsp:rsid wsp:val=&quot;00D633EB&quot;/&gt;&lt;wsp:rsid wsp:val=&quot;00D7545D&quot;/&gt;&lt;wsp:rsid wsp:val=&quot;00D82FF7&quot;/&gt;&lt;wsp:rsid wsp:val=&quot;00D847FE&quot;/&gt;&lt;wsp:rsid wsp:val=&quot;00D964EA&quot;/&gt;&lt;wsp:rsid wsp:val=&quot;00D966D0&quot;/&gt;&lt;wsp:rsid wsp:val=&quot;00D96CBE&quot;/&gt;&lt;wsp:rsid wsp:val=&quot;00DA0C59&quot;/&gt;&lt;wsp:rsid wsp:val=&quot;00DA3991&quot;/&gt;&lt;wsp:rsid wsp:val=&quot;00DB7E6C&quot;/&gt;&lt;wsp:rsid wsp:val=&quot;00DD5A29&quot;/&gt;&lt;wsp:rsid wsp:val=&quot;00DD5D9D&quot;/&gt;&lt;wsp:rsid wsp:val=&quot;00DD73C1&quot;/&gt;&lt;wsp:rsid wsp:val=&quot;00DE35CB&quot;/&gt;&lt;wsp:rsid wsp:val=&quot;00DF21E9&quot;/&gt;&lt;wsp:rsid wsp:val=&quot;00E00F14&quot;/&gt;&lt;wsp:rsid wsp:val=&quot;00E06386&quot;/&gt;&lt;wsp:rsid wsp:val=&quot;00E24EB4&quot;/&gt;&lt;wsp:rsid wsp:val=&quot;00E320ED&quot;/&gt;&lt;wsp:rsid wsp:val=&quot;00E33AFB&quot;/&gt;&lt;wsp:rsid wsp:val=&quot;00E34218&quot;/&gt;&lt;wsp:rsid wsp:val=&quot;00E46282&quot;/&gt;&lt;wsp:rsid wsp:val=&quot;00E5216E&quot;/&gt;&lt;wsp:rsid wsp:val=&quot;00E54BF1&quot;/&gt;&lt;wsp:rsid wsp:val=&quot;00E714CD&quot;/&gt;&lt;wsp:rsid wsp:val=&quot;00E82344&quot;/&gt;&lt;wsp:rsid wsp:val=&quot;00E84C82&quot;/&gt;&lt;wsp:rsid wsp:val=&quot;00E84D64&quot;/&gt;&lt;wsp:rsid wsp:val=&quot;00E87408&quot;/&gt;&lt;wsp:rsid wsp:val=&quot;00E914C4&quot;/&gt;&lt;wsp:rsid wsp:val=&quot;00E934F5&quot;/&gt;&lt;wsp:rsid wsp:val=&quot;00E96961&quot;/&gt;&lt;wsp:rsid wsp:val=&quot;00EA72EC&quot;/&gt;&lt;wsp:rsid wsp:val=&quot;00EB11CB&quot;/&gt;&lt;wsp:rsid wsp:val=&quot;00EB275A&quot;/&gt;&lt;wsp:rsid wsp:val=&quot;00EB562C&quot;/&gt;&lt;wsp:rsid wsp:val=&quot;00EB786A&quot;/&gt;&lt;wsp:rsid wsp:val=&quot;00EC1578&quot;/&gt;&lt;wsp:rsid wsp:val=&quot;00EC1C72&quot;/&gt;&lt;wsp:rsid wsp:val=&quot;00EC3CC9&quot;/&gt;&lt;wsp:rsid wsp:val=&quot;00EC680A&quot;/&gt;&lt;wsp:rsid wsp:val=&quot;00EE2BED&quot;/&gt;&lt;wsp:rsid wsp:val=&quot;00EE374B&quot;/&gt;&lt;wsp:rsid wsp:val=&quot;00F11BB5&quot;/&gt;&lt;wsp:rsid wsp:val=&quot;00F1417B&quot;/&gt;&lt;wsp:rsid wsp:val=&quot;00F34B99&quot;/&gt;&lt;wsp:rsid wsp:val=&quot;00F43A0E&quot;/&gt;&lt;wsp:rsid wsp:val=&quot;00F52DAB&quot;/&gt;&lt;wsp:rsid wsp:val=&quot;00F543F0&quot;/&gt;&lt;wsp:rsid wsp:val=&quot;00F6443D&quot;/&gt;&lt;wsp:rsid wsp:val=&quot;00F81D29&quot;/&gt;&lt;wsp:rsid wsp:val=&quot;00F91C4D&quot;/&gt;&lt;wsp:rsid wsp:val=&quot;00F92FD9&quot;/&gt;&lt;wsp:rsid wsp:val=&quot;00FA6684&quot;/&gt;&lt;wsp:rsid wsp:val=&quot;00FA731E&quot;/&gt;&lt;wsp:rsid wsp:val=&quot;00FB2B38&quot;/&gt;&lt;wsp:rsid wsp:val=&quot;00FB3346&quot;/&gt;&lt;wsp:rsid wsp:val=&quot;00FC6358&quot;/&gt;&lt;wsp:rsid wsp:val=&quot;00FD320D&quot;/&gt;&lt;wsp:rsid wsp:val=&quot;00FE23DE&quot;/&gt;&lt;/wsp:rsids&gt;&lt;/w:docPr&gt;&lt;w:body&gt;&lt;wx:sect&gt;&lt;w:p wsp:rsidR=&quot;00D17371&quot; wsp:rsidRDefault=&quot;00D17371&quot; wsp:rsidP=&quot;00D17371&quot;&gt;&lt;m:oMathPara&gt;&lt;m:oMath&gt;&lt;m:r&gt;&lt;w:rPr&gt;&lt;w:rFonts w:ascii=&quot;Cambria Math&quot;/&gt;&lt;wx:font wx:val=&quot;Cambria Math&quot;/&gt;&lt;w:i/&gt;&lt;/w:rPr&gt;&lt;m:t&gt;蠅=&lt;/m:t&gt;&lt;/m:r&gt;&lt;m:sSub&gt;&lt;m:sSubPr&gt;&lt;m:ctrlPr&gt;&lt;w:rPr&gt;&lt;w:rFonts w:ascii=&quot;Cambria Math&quot;/&gt;&lt;wx:font wx:val=&quot;Cambria Math&quot;/&gt;&lt;w:i/&gt;&lt;/w:rPr&gt;&lt;/m:ctrlPr&gt;&lt;/tttttttttm:sSubPr&gt;&lt;m:e&gt;&lt;m:r&gt;&lt;w:rPr&gt;&lt;w:rFonts w:ascii=&quot;Cambria Math&quot;/&gt;&lt;wx:font wx:val=&quot;Cambria Math&quot;/&gt;&lt;w:i/&gt;&lt;/w:rPr&gt;&lt;m:t&gt;蠅&lt;/m:t&gt;&lt;/m:r&gt;&lt;/m:e&gt;&lt;m:sub&gt;&lt;m:r&gt;&lt;w:rPr&gt;&lt;w:rFonts w:ascii=&quot;Cambria Math&quot;/&gt;&lt;wx:font wx:val=&quot;Cambria Math&quot;/&gt;&lt;w:i/&gt;&lt;/w:rPr&gt;&lt;m:t&gt;1&lt;/m:t&gt;&lt;/m:rt&gt;t&lt;t/tmt:tstutbt&gt;&lt;/m:sSub&gt;&lt;m:r&gt;&lt;w:rPr&gt;&lt;w: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2&lt;/m:t&gt;&lt;/m::r&gt;t&lt;/lm:rsu&lt;b&gt;m&lt;/sm:usSPub&gt;&lt;m:r&gt;&lt;w:rPr&gt;&lt;w:rFonts w:ascii=&quot;Cambria Math&quot;/&gt;&lt;w:i/&gt;&lt;/w:rPr&gt;&lt;m:t&gt;脳&lt;/m:t&gt;&lt;/m:r&gt;&lt;m:r&gt;&lt;w:rPr&gt;&lt;w:rFonts w:ascii=&quot;Cambria Math&quot;/&gt;&lt;wx:font wx:val=&quot;Cambria Math&quot;/&gt;&lt;w:i/&gt;&lt;/w:rPr&gt;&lt;m:t&gt;0.0662+&lt;/m:t&gt;&lt;/m:r&gt;&lt;m:sSub&gt;&lt;m:sSubPr&gt;&lt;m:ctrlPr&gt;&lt;w:rP:r&gt;&lt;tw:rlFonrts &lt;w:amscisi=&quot;uCamPbria Math&quot;/&gt;&lt;wx:font wx:val=&quot;Cambria Math&quot;/&gt;&lt;w:i/&gt;&lt;/w:rPr&gt;&lt;/m:ctrlPr&gt;&lt;/m:sSubPr&gt;&lt;m:e&gt;&lt;m:r&gt;&lt;w:rPr&gt;&lt;w:rFonts w:ascii=&quot;Cambria Math&quot;/&gt;&lt;wx:font wx:val=&quot;Cambria Math&quot;/&gt;&lt;w:i/&gt;&lt;/w:rPr&gt;&lt;m:t&gt;蠅&lt;/m:t&gt;&lt;/m:r&gt;&lt;/m:e&gt;&lt;m:sub&gt;&lt;m:r&gt;&lt;w:rPr&gt;&lt;w::rFotnts lw:asrcii=&lt;&quot;Cammbrias Matuh&quot;/&gt;P&lt;wx:font wx:val=&quot;Cambria Math&quot;/&gt;&lt;w:i/&gt;&lt;/w:rPr&gt;&lt;m:t&gt;3&lt;/m:t&gt;&lt;/m:r&gt;&lt;/m:sub&gt;&lt;/m:sSub&gt;&lt;m:r&gt;&lt;w:rPr&gt;&lt;w:rFonts w:ascii=&quot;Cambria Math&quot;/&gt;&lt;w:i/&gt;&lt;/w:rPr&gt;&lt;m:t&gt;脳&lt;/m:t&gt;&lt;/m:r&gt;&lt;m:r&gt;&lt;w:rPr&gt;&lt;w:rFonts w:ascii=&quot;Cambria Math&quot;/&gt;&lt;wx:font :wx:vatl=&quot;Calmbriar Math&lt;&quot;/&gt;&lt;wm:i/&gt;&lt;s/w:rPur&gt;&lt;m:Pt&gt;0.1497+&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4&lt;/m:t&gt;&lt;/m:r&gt;&lt;/m:sub&gt;&lt;/m:sSub&gt;&lt;m:r&gt;&lt;w:rPr&gt;&lt;w:rFonts w:ascii=&quot;Cambria Math&quot;/&gt;&lt;w&quot;:i/&gt;&lt;/:w:rPr&gt;w&lt;m:t&gt;?=?/m:tbr&gt;&lt;/m:rat&gt;&lt;m:r&gt;&lt;w&lt;w:rPr&lt;/&gt;&lt;w:rFr&gt;onts w:ascii=&quot;Cambria Math&quot;/&gt;&lt;wx:font wx:val=&quot;Cambria Math&quot;/&gt;&lt;w:i/&gt;&lt;/w:rPr&gt;&lt;m:t&gt;0.3246+&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a&lt;/w:rPrw&gt;&lt;m:t&gt;5w&lt;/m:t&gt;&lt;=/m:r&gt;&lt;/mP:sub&gt;&lt;/mS:sSub&gt;&lt;m::r&gt;&lt;w:rP&lt;r&gt;&lt;w:rFownts w:ascii=&quot;Cambria Math&quot;/&gt;&lt;w:i/&gt;&lt;/w:rPr&gt;&lt;m:t&gt;脳&lt;/m:t&gt;&lt;/m:r&gt;&lt;m:r&gt;&lt;w:rPr&gt;&lt;w:rFonts w:ascii=&quot;Cambria Math&quot;/&gt;&lt;wx:font wx:val=&quot;Cambria Math&quot;/&gt;&lt;w:i/&gt;&lt;/w:rPr&gt;&lt;m:t&gt;0.3784&lt;/m:t&gt;&lt;/m:r&gt;&lt;/m:oMath&gt;a&lt;/m:oMatwhPara&gt;&lt;/ww:p&gt;&lt;w:s=ectPr wspP:rsidR=&quot;0S0000000&quot;&gt;:&lt;w:pgSz w&lt;:w=&quot;12240w&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instrText xml:space="preserve"> </w:instrText>
      </w:r>
      <w:r>
        <w:fldChar w:fldCharType="separate"/>
      </w:r>
      <w:r>
        <w:fldChar w:fldCharType="end"/>
      </w:r>
      <w:r>
        <w:fldChar w:fldCharType="begin"/>
      </w:r>
      <w:r>
        <w:instrText xml:space="preserve"> QUOTE </w:instrText>
      </w:r>
      <w:r>
        <w:rPr>
          <w:position w:val="-8"/>
        </w:rPr>
        <w:pict>
          <v:shape id="_x0000_i1026" o:spt="75" type="#_x0000_t75" style="height:16.1pt;width:30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sdtfl=&quot;http://schemas.microsoft.com/office/word/2024/wordml/sdtformatlock&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586F&quot;/&gt;&lt;wsp:rsid wsp:val=&quot;000076A3&quot;/&gt;&lt;wsp:rsid wsp:val=&quot;00013D86&quot;/&gt;&lt;wsp:rsid wsp:val=&quot;00013E02&quot;/&gt;&lt;wsp:rsid wsp:val=&quot;0002143C&quot;/&gt;&lt;wsp:rsid wsp:val=&quot;00025A65&quot;/&gt;&lt;wsp:rsid wsp:val=&quot;00026C31&quot;/&gt;&lt;wsp:rsid wsp:val=&quot;00027280&quot;/&gt;&lt;wsp:rsid wsp:val=&quot;000320A7&quot;/&gt;&lt;wsp:rsid wsp:val=&quot;00035925&quot;/&gt;&lt;wsp:rsid wsp:val=&quot;00067CDF&quot;/&gt;&lt;wsp:rsid wsp:val=&quot;00074FBE&quot;/&gt;&lt;wsp:rsid wsp:val=&quot;00083A09&quot;/&gt;&lt;wsp:rsid wsp:val=&quot;0009005E&quot;/&gt;&lt;wsp:rsid wsp:val=&quot;00092857&quot;/&gt;&lt;wsp:rsid wsp:val=&quot;000A20A9&quot;/&gt;&lt;wsp:rsid wsp:val=&quot;000A48B1&quot;/&gt;&lt;wsp:rsid wsp:val=&quot;000B3143&quot;/&gt;&lt;wsp:rsid wsp:val=&quot;000C6B05&quot;/&gt;&lt;wsp:rsid wsp:val=&quot;000C6DD6&quot;/&gt;&lt;wsp:rsid wsp:val=&quot;000C73D4&quot;/&gt;&lt;wsp:rsid wsp:val=&quot;000D3D4C&quot;/&gt;&lt;wsp:rsid wsp:val=&quot;000D4F51&quot;/&gt;&lt;wsp:rsid wsp:val=&quot;000D718B&quot;/&gt;&lt;wsp:rsid wsp:val=&quot;000E0C46&quot;/&gt;&lt;wsp:rsid wsp:val=&quot;000F030C&quot;/&gt;&lt;wsp:rsid wsp:val=&quot;000F129C&quot;/&gt;&lt;wsp:rsid wsp:val=&quot;001047BB&quot;/&gt;&lt;wsp:rsid wsp:val=&quot;001056DE&quot;/&gt;&lt;wsp:rsid wsp:val=&quot;001124C0&quot;/&gt;&lt;wsp:rsid wsp:val=&quot;0013175F&quot;/&gt;&lt;wsp:rsid wsp:val=&quot;001512B4&quot;/&gt;&lt;wsp:rsid wsp:val=&quot;001620A5&quot;/&gt;&lt;wsp:rsid wsp:val=&quot;00164E53&quot;/&gt;&lt;wsp:rsid wsp:val=&quot;0016699D&quot;/&gt;&lt;wsp:rsid wsp:val=&quot;00175159&quot;/&gt;&lt;wsp:rsid wsp:val=&quot;00176208&quot;/&gt;&lt;wsp:rsid wsp:val=&quot;0018211B&quot;/&gt;&lt;wsp:rsid wsp:val=&quot;001840D3&quot;/&gt;&lt;wsp:rsid wsp:val=&quot;001900F8&quot;/&gt;&lt;wsp:rsid wsp:val=&quot;00191258&quot;/&gt;&lt;wsp:rsid wsp:val=&quot;00192680&quot;/&gt;&lt;wsp:rsid wsp:val=&quot;00193037&quot;/&gt;&lt;wsp:rsid wsp:val=&quot;00193A2C&quot;/&gt;&lt;wsp:rsid wsp:val=&quot;001A288E&quot;/&gt;&lt;wsp:rsid wsp:val=&quot;001B6DC2&quot;/&gt;&lt;wsp:rsid wsp:val=&quot;001C149C&quot;/&gt;&lt;wsp:rsid wsp:val=&quot;001C21AC&quot;/&gt;&lt;wsp:rsid wsp:val=&quot;001C47BA&quot;/&gt;&lt;wsp:rsid wsp:val=&quot;001C59EA&quot;/&gt;&lt;wsp:rsid wsp:val=&quot;001D406C&quot;/&gt;&lt;wsp:rsid wsp:val=&quot;001D41EE&quot;/&gt;&lt;wsp:rsid wsp:val=&quot;001E0380&quot;/&gt;&lt;wsp:rsid wsp:val=&quot;001E13B1&quot;/&gt;&lt;wsp:rsid wsp:val=&quot;001E5C3E&quot;/&gt;&lt;wsp:rsid wsp:val=&quot;001E681D&quot;/&gt;&lt;wsp:rsid wsp:val=&quot;001F3A19&quot;/&gt;&lt;wsp:rsid wsp:val=&quot;001F4A35&quot;/&gt;&lt;wsp:rsid wsp:val=&quot;00234467&quot;/&gt;&lt;wsp:rsid wsp:val=&quot;00237D8D&quot;/&gt;&lt;wsp:rsid wsp:val=&quot;00241DA2&quot;/&gt;&lt;wsp:rsid wsp:val=&quot;00244435&quot;/&gt;&lt;wsp:rsid wsp:val=&quot;00247FEE&quot;/&gt;&lt;wsp:rsid wsp:val=&quot;00250E7D&quot;/&gt;&lt;wsp:rsid wsp:val=&quot;002565D5&quot;/&gt;&lt;wsp:rsid wsp:val=&quot;002622C0&quot;/&gt;&lt;wsp:rsid wsp:val=&quot;002778AE&quot;/&gt;&lt;wsp:rsid wsp:val=&quot;0028269A&quot;/&gt;&lt;wsp:rsid wsp:val=&quot;00283590&quot;/&gt;&lt;wsp:rsid wsp:val=&quot;00286973&quot;/&gt;&lt;wsp:rsid wsp:val=&quot;00294E70&quot;/&gt;&lt;wsp:rsid wsp:val=&quot;002A1924&quot;/&gt;&lt;wsp:rsid wsp:val=&quot;002A7420&quot;/&gt;&lt;wsp:rsid wsp:val=&quot;002B0F12&quot;/&gt;&lt;wsp:rsid wsp:val=&quot;002B1308&quot;/&gt;&lt;wsp:rsid wsp:val=&quot;002B4554&quot;/&gt;&lt;wsp:rsid wsp:val=&quot;002C72D8&quot;/&gt;&lt;wsp:rsid wsp:val=&quot;002D11FA&quot;/&gt;&lt;wsp:rsid wsp:val=&quot;002E0DDF&quot;/&gt;&lt;wsp:rsid wsp:val=&quot;002E1FB1&quot;/&gt;&lt;wsp:rsid wsp:val=&quot;002E2906&quot;/&gt;&lt;wsp:rsid wsp:val=&quot;002E5635&quot;/&gt;&lt;wsp:rsid wsp:val=&quot;002E64C3&quot;/&gt;&lt;wsp:rsid wsp:val=&quot;002E6A2C&quot;/&gt;&lt;wsp:rsid wsp:val=&quot;002F1D8C&quot;/&gt;&lt;wsp:rsid wsp:val=&quot;002F21DA&quot;/&gt;&lt;wsp:rsid wsp:val=&quot;002F74B2&quot;/&gt;&lt;wsp:rsid wsp:val=&quot;00301F39&quot;/&gt;&lt;wsp:rsid wsp:val=&quot;00305F1A&quot;/&gt;&lt;wsp:rsid wsp:val=&quot;00325926&quot;/&gt;&lt;wsp:rsid wsp:val=&quot;00327A8A&quot;/&gt;&lt;wsp:rsid wsp:val=&quot;00333436&quot;/&gt;&lt;wsp:rsid wsp:val=&quot;00336610&quot;/&gt;&lt;wsp:rsid wsp:val=&quot;00343F73&quot;/&gt;&lt;wsp:rsid wsp:val=&quot;00345060&quot;/&gt;&lt;wsp:rsid wsp:val=&quot;0035323B&quot;/&gt;&lt;wsp:rsid wsp:val=&quot;003609D2&quot;/&gt;&lt;wsp:rsid wsp:val=&quot;00363F22&quot;/&gt;&lt;wsp:rsid wsp:val=&quot;00375564&quot;/&gt;&lt;wsp:rsid wsp:val=&quot;00383191&quot;/&gt;&lt;wsp:rsid wsp:val=&quot;00386DED&quot;/&gt;&lt;wsp:rsid wsp:val=&quot;003912E7&quot;/&gt;&lt;wsp:rsid wsp:val=&quot;00393947&quot;/&gt;&lt;wsp:rsid wsp:val=&quot;003969B3&quot;/&gt;&lt;wsp:rsid wsp:val=&quot;003A2275&quot;/&gt;&lt;wsp:rsid wsp:val=&quot;003A6A4F&quot;/&gt;&lt;wsp:rsid wsp:val=&quot;003A7088&quot;/&gt;&lt;wsp:rsid wsp:val=&quot;003B00DF&quot;/&gt;&lt;wsp:rsid wsp:val=&quot;003B1275&quot;/&gt;&lt;wsp:rsid wsp:val=&quot;003B1778&quot;/&gt;&lt;wsp:rsid wsp:val=&quot;003C11CB&quot;/&gt;&lt;wsp:rsid wsp:val=&quot;003C18B7&quot;/&gt;&lt;wsp:rsid wsp:val=&quot;003C75F3&quot;/&gt;&lt;wsp:rsid wsp:val=&quot;003C78A3&quot;/&gt;&lt;wsp:rsid wsp:val=&quot;003E1867&quot;/&gt;&lt;wsp:rsid wsp:val=&quot;003E5729&quot;/&gt;&lt;wsp:rsid wsp:val=&quot;003F4EE0&quot;/&gt;&lt;wsp:rsid wsp:val=&quot;00402153&quot;/&gt;&lt;wsp:rsid wsp:val=&quot;00402FC1&quot;/&gt;&lt;wsp:rsid wsp:val=&quot;0041783D&quot;/&gt;&lt;wsp:rsid wsp:val=&quot;00425082&quot;/&gt;&lt;wsp:rsid wsp:val=&quot;00431DEB&quot;/&gt;&lt;wsp:rsid wsp:val=&quot;00446B29&quot;/&gt;&lt;wsp:rsid wsp:val=&quot;00453F9A&quot;/&gt;&lt;wsp:rsid wsp:val=&quot;00471E91&quot;/&gt;&lt;wsp:rsid wsp:val=&quot;00474675&quot;/&gt;&lt;wsp:rsid wsp:val=&quot;0047470C&quot;/&gt;&lt;wsp:rsid wsp:val=&quot;00497D2C&quot;/&gt;&lt;wsp:rsid wsp:val=&quot;004A35F9&quot;/&gt;&lt;wsp:rsid wsp:val=&quot;004B24C1&quot;/&gt;&lt;wsp:rsid wsp:val=&quot;004B36E8&quot;/&gt;&lt;wsp:rsid wsp:val=&quot;004C292F&quot;/&gt;&lt;wsp:rsid wsp:val=&quot;004F0284&quot;/&gt;&lt;wsp:rsid wsp:val=&quot;004F208F&quot;/&gt;&lt;wsp:rsid wsp:val=&quot;00510280&quot;/&gt;&lt;wsp:rsid wsp:val=&quot;00513D73&quot;/&gt;&lt;wsp:rsid wsp:val=&quot;00514A43&quot;/&gt;&lt;wsp:rsid wsp:val=&quot;005174E5&quot;/&gt;&lt;wsp:rsid wsp:val=&quot;00521CE8&quot;/&gt;&lt;wsp:rsid wsp:val=&quot;00522393&quot;/&gt;&lt;wsp:rsid wsp:val=&quot;00522620&quot;/&gt;&lt;wsp:rsid wsp:val=&quot;00525656&quot;/&gt;&lt;wsp:rsid wsp:val=&quot;00534C02&quot;/&gt;&lt;wsp:rsid wsp:val=&quot;005359E7&quot;/&gt;&lt;wsp:rsid wsp:val=&quot;0054264B&quot;/&gt;&lt;wsp:rsid wsp:val=&quot;00543786&quot;/&gt;&lt;wsp:rsid wsp:val=&quot;005533D7&quot;/&gt;&lt;wsp:rsid wsp:val=&quot;005703DE&quot;/&gt;&lt;wsp:rsid wsp:val=&quot;0058464E&quot;/&gt;&lt;wsp:rsid wsp:val=&quot;005854F3&quot;/&gt;&lt;wsp:rsid wsp:val=&quot;005A01CB&quot;/&gt;&lt;wsp:rsid wsp:val=&quot;005A3249&quot;/&gt;&lt;wsp:rsid wsp:val=&quot;005A58FF&quot;/&gt;&lt;wsp:rsid wsp:val=&quot;005A5EAF&quot;/&gt;&lt;wsp:rsid wsp:val=&quot;005A64C0&quot;/&gt;&lt;wsp:rsid wsp:val=&quot;005B3C11&quot;/&gt;&lt;wsp:rsid wsp:val=&quot;005C1C28&quot;/&gt;&lt;wsp:rsid wsp:val=&quot;005C6DB5&quot;/&gt;&lt;wsp:rsid wsp:val=&quot;005E19E7&quot;/&gt;&lt;wsp:rsid wsp:val=&quot;0061716C&quot;/&gt;&lt;wsp:rsid wsp:val=&quot;006243A1&quot;/&gt;&lt;wsp:rsid wsp:val=&quot;00632E56&quot;/&gt;&lt;wsp:rsid wsp:val=&quot;00635CBA&quot;/&gt;&lt;wsp:rsid wsp:val=&quot;0064338B&quot;/&gt;&lt;wsp:rsid wsp:val=&quot;00646542&quot;/&gt;&lt;wsp:rsid wsp:val=&quot;006504F4&quot;/&gt;&lt;wsp:rsid wsp:val=&quot;00654BC9&quot;/&gt;&lt;wsp:rsid wsp:val=&quot;006552FD&quot;/&gt;&lt;wsp:rsid wsp:val=&quot;00663AF3&quot;/&gt;&lt;wsp:rsid wsp:val=&quot;00666B6C&quot;/&gt;&lt;wsp:rsid wsp:val=&quot;00682682&quot;/&gt;&lt;wsp:rsid wsp:val=&quot;00682702&quot;/&gt;&lt;wsp:rsid wsp:val=&quot;00692368&quot;/&gt;&lt;wsp:rsid wsp:val=&quot;006A2EBC&quot;/&gt;&lt;wsp:rsid wsp:val=&quot;006A5EA0&quot;/&gt;&lt;wsp:rsid wsp:val=&quot;006A783B&quot;/&gt;&lt;wsp:rsid wsp:val=&quot;006A7B33&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4A7F&quot;/&gt;&lt;wsp:rsid wsp:val=&quot;00704DF6&quot;/&gt;&lt;wsp:rsid wsp:val=&quot;00705C97&quot;/&gt;&lt;wsp:rsid wsp:val=&quot;0070651C&quot;/&gt;&lt;wsp:rsid wsp:val=&quot;007132A3&quot;/&gt;&lt;wsp:rsid wsp:val=&quot;00716421&quot;/&gt;&lt;wsp:rsid wsp:val=&quot;00724EFB&quot;/&gt;&lt;wsp:rsid wsp:val=&quot;007419C3&quot;/&gt;&lt;wsp:rsid wsp:val=&quot;007467A7&quot;/&gt;&lt;wsp:rsid wsp:val=&quot;007469DD&quot;/&gt;&lt;wsp:rsid wsp:val=&quot;0074741B&quot;/&gt;&lt;wsp:rsid wsp:val=&quot;0074759E&quot;/&gt;&lt;wsp:rsid wsp:val=&quot;007478EA&quot;/&gt;&lt;wsp:rsid wsp:val=&quot;0075415C&quot;/&gt;&lt;wsp:rsid wsp:val=&quot;007575DC&quot;/&gt;&lt;wsp:rsid wsp:val=&quot;00763502&quot;/&gt;&lt;wsp:rsid wsp:val=&quot;007913AB&quot;/&gt;&lt;wsp:rsid wsp:val=&quot;007914F7&quot;/&gt;&lt;wsp:rsid wsp:val=&quot;007B1625&quot;/&gt;&lt;wsp:rsid wsp:val=&quot;007B706E&quot;/&gt;&lt;wsp:rsid wsp:val=&quot;007B71EB&quot;/&gt;&lt;wsp:rsid wsp:val=&quot;007C6205&quot;/&gt;&lt;wsp:rsid wsp:val=&quot;007C686A&quot;/&gt;&lt;wsp:rsid wsp:val=&quot;007C728E&quot;/&gt;&lt;wsp:rsid wsp:val=&quot;007D2C53&quot;/&gt;&lt;wsp:rsid wsp:val=&quot;007D3D60&quot;/&gt;&lt;wsp:rsid wsp:val=&quot;007E1980&quot;/&gt;&lt;wsp:rsid wsp:val=&quot;007E4B76&quot;/&gt;&lt;wsp:rsid wsp:val=&quot;007E5EA8&quot;/&gt;&lt;wsp:rsid wsp:val=&quot;007F0CF1&quot;/&gt;&lt;wsp:rsid wsp:val=&quot;007F12A5&quot;/&gt;&lt;wsp:rsid wsp:val=&quot;007F4CF1&quot;/&gt;&lt;wsp:rsid wsp:val=&quot;007F6B79&quot;/&gt;&lt;wsp:rsid wsp:val=&quot;007F758D&quot;/&gt;&lt;wsp:rsid wsp:val=&quot;007F7D52&quot;/&gt;&lt;wsp:rsid wsp:val=&quot;0080654C&quot;/&gt;&lt;wsp:rsid wsp:val=&quot;008071C6&quot;/&gt;&lt;wsp:rsid wsp:val=&quot;00817A00&quot;/&gt;&lt;wsp:rsid wsp:val=&quot;00835DB3&quot;/&gt;&lt;wsp:rsid wsp:val=&quot;0083617B&quot;/&gt;&lt;wsp:rsid wsp:val=&quot;008371BD&quot;/&gt;&lt;wsp:rsid wsp:val=&quot;008472C4&quot;/&gt;&lt;wsp:rsid wsp:val=&quot;008504A8&quot;/&gt;&lt;wsp:rsid wsp:val=&quot;0085282E&quot;/&gt;&lt;wsp:rsid wsp:val=&quot;00863408&quot;/&gt;&lt;wsp:rsid wsp:val=&quot;0087198C&quot;/&gt;&lt;wsp:rsid wsp:val=&quot;00872C1F&quot;/&gt;&lt;wsp:rsid wsp:val=&quot;00873B42&quot;/&gt;&lt;wsp:rsid wsp:val=&quot;008856D8&quot;/&gt;&lt;wsp:rsid wsp:val=&quot;00892E82&quot;/&gt;&lt;wsp:rsid wsp:val=&quot;008C1B58&quot;/&gt;&lt;wsp:rsid wsp:val=&quot;008C39AE&quot;/&gt;&lt;wsp:rsid wsp:val=&quot;008C3F88&quot;/&gt;&lt;wsp:rsid wsp:val=&quot;008C590D&quot;/&gt;&lt;wsp:rsid wsp:val=&quot;008D4EA1&quot;/&gt;&lt;wsp:rsid wsp:val=&quot;008E031B&quot;/&gt;&lt;wsp:rsid wsp:val=&quot;008E7029&quot;/&gt;&lt;wsp:rsid wsp:val=&quot;008E7EF6&quot;/&gt;&lt;wsp:rsid wsp:val=&quot;008F1F98&quot;/&gt;&lt;wsp:rsid wsp:val=&quot;008F6758&quot;/&gt;&lt;wsp:rsid wsp:val=&quot;009040DD&quot;/&gt;&lt;wsp:rsid wsp:val=&quot;00905B47&quot;/&gt;&lt;wsp:rsid wsp:val=&quot;0091331C&quot;/&gt;&lt;wsp:rsid wsp:val=&quot;009279DE&quot;/&gt;&lt;wsp:rsid wsp:val=&quot;00930116&quot;/&gt;&lt;wsp:rsid wsp:val=&quot;0094212C&quot;/&gt;&lt;wsp:rsid wsp:val=&quot;00954689&quot;/&gt;&lt;wsp:rsid wsp:val=&quot;009617C9&quot;/&gt;&lt;wsp:rsid wsp:val=&quot;00961C93&quot;/&gt;&lt;wsp:rsid wsp:val=&quot;00962720&quot;/&gt;&lt;wsp:rsid wsp:val=&quot;00965324&quot;/&gt;&lt;wsp:rsid wsp:val=&quot;0097091E&quot;/&gt;&lt;wsp:rsid wsp:val=&quot;009760D3&quot;/&gt;&lt;wsp:rsid wsp:val=&quot;00977132&quot;/&gt;&lt;wsp:rsid wsp:val=&quot;00981A4B&quot;/&gt;&lt;wsp:rsid wsp:val=&quot;00982501&quot;/&gt;&lt;wsp:rsid wsp:val=&quot;009877D3&quot;/&gt;&lt;wsp:rsid wsp:val=&quot;00994E8F&quot;/&gt;&lt;wsp:rsid wsp:val=&quot;009951DC&quot;/&gt;&lt;wsp:rsid wsp:val=&quot;009959BB&quot;/&gt;&lt;wsp:rsid wsp:val=&quot;00997158&quot;/&gt;&lt;wsp:rsid wsp:val=&quot;009A3A7C&quot;/&gt;&lt;wsp:rsid wsp:val=&quot;009B2ADB&quot;/&gt;&lt;wsp:rsid wsp:val=&quot;009B603A&quot;/&gt;&lt;wsp:rsid wsp:val=&quot;009C2D0E&quot;/&gt;&lt;wsp:rsid wsp:val=&quot;009C3DAC&quot;/&gt;&lt;wsp:rsid wsp:val=&quot;009C42E0&quot;/&gt;&lt;wsp:rsid wsp:val=&quot;009D5362&quot;/&gt;&lt;wsp:rsid wsp:val=&quot;009E1415&quot;/&gt;&lt;wsp:rsid wsp:val=&quot;009E6116&quot;/&gt;&lt;wsp:rsid wsp:val=&quot;00A02E43&quot;/&gt;&lt;wsp:rsid wsp:val=&quot;00A065F9&quot;/&gt;&lt;wsp:rsid wsp:val=&quot;00A07F34&quot;/&gt;&lt;wsp:rsid wsp:val=&quot;00A22154&quot;/&gt;&lt;wsp:rsid wsp:val=&quot;00A25C38&quot;/&gt;&lt;wsp:rsid wsp:val=&quot;00A36BBE&quot;/&gt;&lt;wsp:rsid wsp:val=&quot;00A4307A&quot;/&gt;&lt;wsp:rsid wsp:val=&quot;00A43B09&quot;/&gt;&lt;wsp:rsid wsp:val=&quot;00A47EBB&quot;/&gt;&lt;wsp:rsid wsp:val=&quot;00A51CDD&quot;/&gt;&lt;wsp:rsid wsp:val=&quot;00A571FA&quot;/&gt;&lt;wsp:rsid wsp:val=&quot;00A6730D&quot;/&gt;&lt;wsp:rsid wsp:val=&quot;00A71625&quot;/&gt;&lt;wsp:rsid wsp:val=&quot;00A71B9B&quot;/&gt;&lt;wsp:rsid wsp:val=&quot;00A751C7&quot;/&gt;&lt;wsp:rsid wsp:val=&quot;00A87844&quot;/&gt;&lt;wsp:rsid wsp:val=&quot;00AA038C&quot;/&gt;&lt;wsp:rsid wsp:val=&quot;00AA7A09&quot;/&gt;&lt;wsp:rsid wsp:val=&quot;00AB3B50&quot;/&gt;&lt;wsp:rsid wsp:val=&quot;00AC05B1&quot;/&gt;&lt;wsp:rsid wsp:val=&quot;00AD356C&quot;/&gt;&lt;wsp:rsid wsp:val=&quot;00AE2914&quot;/&gt;&lt;wsp:rsid wsp:val=&quot;00AE5395&quot;/&gt;&lt;wsp:rsid wsp:val=&quot;00AE6D15&quot;/&gt;&lt;wsp:rsid wsp:val=&quot;00B04182&quot;/&gt;&lt;wsp:rsid wsp:val=&quot;00B07AE3&quot;/&gt;&lt;wsp:rsid wsp:val=&quot;00B11430&quot;/&gt;&lt;wsp:rsid wsp:val=&quot;00B353EB&quot;/&gt;&lt;wsp:rsid wsp:val=&quot;00B4228B&quot;/&gt;&lt;wsp:rsid wsp:val=&quot;00B439C4&quot;/&gt;&lt;wsp:rsid wsp:val=&quot;00B4535E&quot;/&gt;&lt;wsp:rsid wsp:val=&quot;00B5230C&quot;/&gt;&lt;wsp:rsid wsp:val=&quot;00B52A8C&quot;/&gt;&lt;wsp:rsid wsp:val=&quot;00B636A8&quot;/&gt;&lt;wsp:rsid wsp:val=&quot;00B665C6&quot;/&gt;&lt;wsp:rsid wsp:val=&quot;00B66EE1&quot;/&gt;&lt;wsp:rsid wsp:val=&quot;00B805AF&quot;/&gt;&lt;wsp:rsid wsp:val=&quot;00B869EC&quot;/&gt;&lt;wsp:rsid wsp:val=&quot;00B9135E&quot;/&gt;&lt;wsp:rsid wsp:val=&quot;00B9397A&quot;/&gt;&lt;wsp:rsid wsp:val=&quot;00B9633D&quot;/&gt;&lt;wsp:rsid wsp:val=&quot;00BA2EBE&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55CB&quot;/&gt;&lt;wsp:rsid wsp:val=&quot;00BF617A&quot;/&gt;&lt;wsp:rsid wsp:val=&quot;00C0379D&quot;/&gt;&lt;wsp:rsid wsp:val=&quot;00C03931&quot;/&gt;&lt;wsp:rsid wsp:val=&quot;00C05FE3&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4E1&quot;/&gt;&lt;wsp:rsid wsp:val=&quot;00C31DA9&quot;/&gt;&lt;wsp:rsid wsp:val=&quot;00C34397&quot;/&gt;&lt;wsp:rsid wsp:val=&quot;00C4095D&quot;/&gt;&lt;wsp:rsid wsp:val=&quot;00C601D2&quot;/&gt;&lt;wsp:rsid wsp:val=&quot;00C657AB&quot;/&gt;&lt;wsp:rsid wsp:val=&quot;00C65BCC&quot;/&gt;&lt;wsp:rsid wsp:val=&quot;00C66970&quot;/&gt;&lt;wsp:rsid wsp:val=&quot;00C8691C&quot;/&gt;&lt;wsp:rsid wsp:val=&quot;00CA168A&quot;/&gt;&lt;wsp:rsid wsp:val=&quot;00CA357E&quot;/&gt;&lt;wsp:rsid wsp:val=&quot;00CA44F9&quot;/&gt;&lt;wsp:rsid wsp:val=&quot;00CA4A69&quot;/&gt;&lt;wsp:rsid wsp:val=&quot;00CC3E0C&quot;/&gt;&lt;wsp:rsid wsp:val=&quot;00CC58D3&quot;/&gt;&lt;wsp:rsid wsp:val=&quot;00CC784D&quot;/&gt;&lt;wsp:rsid wsp:val=&quot;00CC79B1&quot;/&gt;&lt;wsp:rsid wsp:val=&quot;00CE39AE&quot;/&gt;&lt;wsp:rsid wsp:val=&quot;00D0337B&quot;/&gt;&lt;wsp:rsid wsp:val=&quot;00D079B2&quot;/&gt;&lt;wsp:rsid wsp:val=&quot;00D114E9&quot;/&gt;&lt;wsp:rsid wsp:val=&quot;00D429C6&quot;/&gt;&lt;wsp:rsid wsp:val=&quot;00D47748&quot;/&gt;&lt;wsp:rsid wsp:val=&quot;00D54CC3&quot;/&gt;&lt;wsp:rsid wsp:val=&quot;00D6041A&quot;/&gt;&lt;wsp:rsid wsp:val=&quot;00D633EB&quot;/&gt;&lt;wsp:rsid wsp:val=&quot;00D7545D&quot;/&gt;&lt;wsp:rsid wsp:val=&quot;00D82FF7&quot;/&gt;&lt;wsp:rsid wsp:val=&quot;00D847FE&quot;/&gt;&lt;wsp:rsid wsp:val=&quot;00D964EA&quot;/&gt;&lt;wsp:rsid wsp:val=&quot;00D966D0&quot;/&gt;&lt;wsp:rsid wsp:val=&quot;00D96CBE&quot;/&gt;&lt;wsp:rsid wsp:val=&quot;00DA0C59&quot;/&gt;&lt;wsp:rsid wsp:val=&quot;00DA3991&quot;/&gt;&lt;wsp:rsid wsp:val=&quot;00DB7E6C&quot;/&gt;&lt;wsp:rsid wsp:val=&quot;00DD5A29&quot;/&gt;&lt;wsp:rsid wsp:val=&quot;00DD5D9D&quot;/&gt;&lt;wsp:rsid wsp:val=&quot;00DD73C1&quot;/&gt;&lt;wsp:rsid wsp:val=&quot;00DE35CB&quot;/&gt;&lt;wsp:rsid wsp:val=&quot;00DF21E9&quot;/&gt;&lt;wsp:rsid wsp:val=&quot;00E00F14&quot;/&gt;&lt;wsp:rsid wsp:val=&quot;00E06386&quot;/&gt;&lt;wsp:rsid wsp:val=&quot;00E24EB4&quot;/&gt;&lt;wsp:rsid wsp:val=&quot;00E320ED&quot;/&gt;&lt;wsp:rsid wsp:val=&quot;00E33AFB&quot;/&gt;&lt;wsp:rsid wsp:val=&quot;00E34218&quot;/&gt;&lt;wsp:rsid wsp:val=&quot;00E46282&quot;/&gt;&lt;wsp:rsid wsp:val=&quot;00E5216E&quot;/&gt;&lt;wsp:rsid wsp:val=&quot;00E54BF1&quot;/&gt;&lt;wsp:rsid wsp:val=&quot;00E714CD&quot;/&gt;&lt;wsp:rsid wsp:val=&quot;00E82344&quot;/&gt;&lt;wsp:rsid wsp:val=&quot;00E84C82&quot;/&gt;&lt;wsp:rsid wsp:val=&quot;00E84D64&quot;/&gt;&lt;wsp:rsid wsp:val=&quot;00E87408&quot;/&gt;&lt;wsp:rsid wsp:val=&quot;00E914C4&quot;/&gt;&lt;wsp:rsid wsp:val=&quot;00E934F5&quot;/&gt;&lt;wsp:rsid wsp:val=&quot;00E96961&quot;/&gt;&lt;wsp:rsid wsp:val=&quot;00EA72EC&quot;/&gt;&lt;wsp:rsid wsp:val=&quot;00EB11CB&quot;/&gt;&lt;wsp:rsid wsp:val=&quot;00EB275A&quot;/&gt;&lt;wsp:rsid wsp:val=&quot;00EB562C&quot;/&gt;&lt;wsp:rsid wsp:val=&quot;00EB786A&quot;/&gt;&lt;wsp:rsid wsp:val=&quot;00EC1578&quot;/&gt;&lt;wsp:rsid wsp:val=&quot;00EC1C72&quot;/&gt;&lt;wsp:rsid wsp:val=&quot;00EC3CC9&quot;/&gt;&lt;wsp:rsid wsp:val=&quot;00EC680A&quot;/&gt;&lt;wsp:rsid wsp:val=&quot;00EE2BED&quot;/&gt;&lt;wsp:rsid wsp:val=&quot;00EE374B&quot;/&gt;&lt;wsp:rsid wsp:val=&quot;00F01364&quot;/&gt;&lt;wsp:rsid wsp:val=&quot;00F11BB5&quot;/&gt;&lt;wsp:rsid wsp:val=&quot;00F1417B&quot;/&gt;&lt;wsp:rsid wsp:val=&quot;00F34B99&quot;/&gt;&lt;wsp:rsid wsp:val=&quot;00F43A0E&quot;/&gt;&lt;wsp:rsid wsp:val=&quot;00F52DAB&quot;/&gt;&lt;wsp:rsid wsp:val=&quot;00F543F0&quot;/&gt;&lt;wsp:rsid wsp:val=&quot;00F6443D&quot;/&gt;&lt;wsp:rsid wsp:val=&quot;00F81D29&quot;/&gt;&lt;wsp:rsid wsp:val=&quot;00F91C4D&quot;/&gt;&lt;wsp:rsid wsp:val=&quot;00F92FD9&quot;/&gt;&lt;wsp:rsid wsp:val=&quot;00FA6684&quot;/&gt;&lt;wsp:rsid wsp:val=&quot;00FA731E&quot;/&gt;&lt;wsp:rsid wsp:val=&quot;00FB2B38&quot;/&gt;&lt;wsp:rsid wsp:val=&quot;00FB3346&quot;/&gt;&lt;wsp:rsid wsp:val=&quot;00FC6358&quot;/&gt;&lt;wsp:rsid wsp:val=&quot;00FD320D&quot;/&gt;&lt;wsp:rsid wsp:val=&quot;00FE23DE&quot;/&gt;&lt;/wsp:rsids&gt;&lt;/w:docPr&gt;&lt;w:body&gt;&lt;wx:sect&gt;&lt;w:p wsp:rsidR=&quot;00F01364&quot; wsp:rsidRDefault=&quot;00F01364&quot; wsp:rsidP=&quot;00F01364&quot;&gt;&lt;m:oMathPara&gt;&lt;m:oMath&gt;&lt;m:r&gt;&lt;w:rPr&gt;&lt;w:rFonts w:ascii=&quot;Cambria Math&quot;/&gt;&lt;wx:font wx:val=&quot;Cambria Math&quot;/&gt;&lt;w:i/&gt;&lt;/w:rPr&gt;&lt;m:t&gt;蠅=&lt;/m:t&gt;&lt;/m:r&gt;&lt;m:sSub&gt;&lt;m:sSubPr&gt;&lt;m:ctrlPr&gt;&lt;w:rPr&gt;&lt;w:rFonts w:ascii=&quot;Cambria Math&quot;/&gt;&lt;wx:font wx:val=&quot;Cambria Math&quot;/&gt;&lt;w:i/&gt;&lt;/w:rPr&gt;&lt;/m:ctrlPr&gt;&lt;/m:sSubPr&gt;&lt;m:e&gt;&lt;m:r&gt;&lt;w:rPrPPPPPPPPP&gt;&lt;w:rFonts w:ascii=&quot;Cambria Math&quot;/&gt;&lt;wx:font wx:val=&quot;Cambria Math&quot;/&gt;&lt;w:i/&gt;&lt;/w:rPr&gt;&lt;m:t&gt;蠅&lt;/m:t&gt;&lt;/m:r&gt;&lt;/m:e&gt;&lt;m:sub&gt;&lt;m:r&gt;&lt;w:rPr&gt;&lt;w:rFonts w:ascii=&quot;Cambria Math&quot;/&gt;&lt;wx:font wx:val=&quot;Cambria Math&quot;/&gt;&lt;w:i/&gt;&lt;/w:rPr&gt;&lt;m:t&gt;1&lt;/m:t&gt;&lt;/m:r&gt;&lt;/m:sub&gt;&lt;/m:sSub&gt;&lt;m:r&gt;&lt;wP:PrPPPrP&gt;P&lt;PwP:P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2&lt;/m:t&gt;&lt;/m:r&gt;&lt;/m:sub&gt;&lt;/m:sSub&gt;&lt;m:r&gt;&lt;mw:rrP&lt;r&gt;:&lt;wP:r&gt;Fowntrs ow:ascii=&quot;Cambria Math&quot;/&gt;&lt;w:i/&gt;&lt;/w:rPr&gt;&lt;m:t&gt;脳&lt;/m:t&gt;&lt;/m:r&gt;&lt;m:r&gt;&lt;w:rPr&gt;&lt;w:rFonts w:ascii=&quot;Cambria Math&quot;/&gt;&lt;wx:font wx:val=&quot;Cambria Math&quot;/&gt;&lt;w:i/&gt;&lt;/w:rPr&gt;&lt;m:t&gt;0.0662+&lt;/m:t&gt;&lt;/m:r&gt;&lt;m:sSub&gt;&lt;m:sSubPr&gt;&lt;m:ctrlPr&gt;&lt;w:rPr&gt;&lt;w:rFonts w:ascii=&quot;Cambmriar Ma&lt;th&quot;:/&gt;&lt;Pwx:&gt;fonwt wrx:voal=&quot;Cambria Math&quot;/&gt;&lt;w:i/&gt;&lt;/w:rPr&gt;&lt;/m:ctrlPr&gt;&lt;/m:sSubPr&gt;&lt;m:e&gt;&lt;m:r&gt;&lt;w:rPr&gt;&lt;w:rFonts w:ascii=&quot;Cambria Math&quot;/&gt;&lt;wx:font wx:val=&quot;Cambria Math&quot;/&gt;&lt;w:i/&gt;&lt;/w:rPr&gt;&lt;m:t&gt;蠅&lt;/m:t&gt;&lt;/m:r&gt;&lt;/m:e&gt;&lt;m:sub&gt;&lt;m:r&gt;&lt;w:rPr&gt;&lt;w:rFonts w:ascii=&quot;Cambria mMathr&quot;/&gt;&lt;&lt;wx:f:ont Pwx:v&gt;al=&quot;wCambrria oMath&quot;/&gt;&lt;w:i/&gt;&lt;/w:rPr&gt;&lt;m:t&gt;3&lt;/m:t&gt;&lt;/m:r&gt;&lt;/m:sub&gt;&lt;/m:sSub&gt;&lt;m:r&gt;&lt;w:rPr&gt;&lt;w:rFonts w:ascii=&quot;Cambria Math&quot;/&gt;&lt;w:i/&gt;&lt;/w:rPr&gt;&lt;m:t&gt;脳&lt;/m:t&gt;&lt;/m:r&gt;&lt;m:r&gt;&lt;w:rPr&gt;&lt;w:rFonts w:ascii=&quot;Cambria Math&quot;/&gt;&lt;wx:font wx:val=&quot;Cambria Math&quot;/&gt;&lt;wm:i/&gt;&lt;r/w:rP&lt;r&gt;&lt;m::t&gt;0.1P497+&lt;&gt;/m:t&gt;w&lt;/m:rr&gt;&lt;m:soSub&gt;&lt;m:sSubPr&gt;&lt;m:ctrlPr&gt;&lt;w:rPr&gt;&lt;w:rFonts w:ascii=&quot;Cambria Math&quot;/&gt;&lt;wx:font wx:val=&quot;Cambria Math&quot;/&gt;&lt;w:i/&gt;&lt;/w:rPr&gt;&lt;/m:ctrlPr&gt;&lt;/m:sSubPr&gt;&lt;m:e&gt;&lt;m:r&gt;&lt;w:rPr&gt;&lt;w:rFonts w:ascii=&quot;Cambria Math&quot;/&gt;&lt;wx:font wx:val=&quot;Cambria Math&quot;/&gt;&lt;w:i/&gt;&lt;/w:rPr&gt;&lt;m:t&gt;蠅&gt;&lt;/m:t&gt;w&lt;/m:r&gt;r&lt;/m:e&gt;o&lt;m:sub&gt;&lt;m:r&gt;&lt;w:rPr&gt;&lt;w:rFonts w:ascii=&quot;Cambria Math&quot;/&gt;&lt;wx:font wx:val=&quot;Cambria Math&quot;/&gt;&lt;w:i/&gt;&lt;/w:rPr&gt;&lt;m:t&gt;4&lt;/m:t&gt;&lt;/m:r&gt;&lt;/m:sub&gt;&lt;/m:sSub&gt;&lt;m:r&gt;&lt;w:rPr&gt;&lt;w:rFonts w:ascii=&quot;Cambria Math&quot;/&gt;&lt;w:i/&gt;&lt;/w:rPr&gt;&lt;m:t&gt;脳&lt;/rim:t&gt;&lt;/thm:r&gt;&lt;mw::r&gt;&lt;w:/wrPr&gt;&lt;w&gt;&lt;:rFonts&gt; w:asciwi=&quot;Cambrria Matoh&quot;/&gt;&lt;wx:font wx:val=&quot;Cambria Math&quot;/&gt;&lt;w:i/&gt;&lt;/w:rPr&gt;&lt;m:t&gt;0.3246+&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5&lt;/m:t&gt;&lt;//m:r&gt;&lt;/m:rsub&gt;&lt;/m:usSub&gt;&lt;m:er&gt;&lt;w:rPrw&gt;&lt;w:rFon:ts w:ascwii=&quot;Camb&quot;ria Math &quot;/&gt;&lt;w:i/&gt;&lt;/w:rPr&gt;&lt;m:t&gt;脳&lt;/m:t&gt;&lt;/m:r&gt;&lt;m:r&gt;&lt;w:rPr&gt;&lt;w:rFonts w:ascii=&quot;Cambria Math&quot;/&gt;&lt;wx:font wx:val=&quot;Cambria Math&quot;/&gt;&lt;w:i/&gt;&lt;/w:rPr&gt;&lt;m:t&gt;0.3784&lt;/m:t&gt;&lt;/m:r&gt;&lt;/m:oMath&gt;&lt;/m:oMathPara&gt;&lt;/w:p&gt;&lt;w/:sectPr wrsp:rsidR=u&quot;00000000e&quot;&gt;&lt;w:pgSzw w:w=&quot;122:40&quot; w:h=&quot;w15840&quot;/&gt;&lt;&quot;w:pgMar w :top=&quot;1440&quot; w:right=&quot;1800&quot; w:bottom=&quot;1440&quot; w:left=&quot;1800&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instrText xml:space="preserve"> </w:instrText>
      </w:r>
      <w:r>
        <w:fldChar w:fldCharType="separate"/>
      </w:r>
      <w:r>
        <w:fldChar w:fldCharType="end"/>
      </w:r>
      <w:r>
        <w:fldChar w:fldCharType="begin"/>
      </w:r>
      <w:r>
        <w:instrText xml:space="preserve"> QUOTE </w:instrText>
      </w:r>
      <w:r>
        <w:rPr>
          <w:position w:val="-8"/>
        </w:rPr>
        <w:pict>
          <v:shape id="_x0000_i1027" o:spt="75" type="#_x0000_t75" style="height:16.1pt;width:30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sdtfl=&quot;http://schemas.microsoft.com/office/word/2024/wordml/sdtformatlock&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586F&quot;/&gt;&lt;wsp:rsid wsp:val=&quot;000076A3&quot;/&gt;&lt;wsp:rsid wsp:val=&quot;00013D86&quot;/&gt;&lt;wsp:rsid wsp:val=&quot;00013E02&quot;/&gt;&lt;wsp:rsid wsp:val=&quot;0002143C&quot;/&gt;&lt;wsp:rsid wsp:val=&quot;00025A65&quot;/&gt;&lt;wsp:rsid wsp:val=&quot;00026C31&quot;/&gt;&lt;wsp:rsid wsp:val=&quot;00027280&quot;/&gt;&lt;wsp:rsid wsp:val=&quot;000320A7&quot;/&gt;&lt;wsp:rsid wsp:val=&quot;00035925&quot;/&gt;&lt;wsp:rsid wsp:val=&quot;00067CDF&quot;/&gt;&lt;wsp:rsid wsp:val=&quot;00074FBE&quot;/&gt;&lt;wsp:rsid wsp:val=&quot;00083A09&quot;/&gt;&lt;wsp:rsid wsp:val=&quot;0009005E&quot;/&gt;&lt;wsp:rsid wsp:val=&quot;00092857&quot;/&gt;&lt;wsp:rsid wsp:val=&quot;000A20A9&quot;/&gt;&lt;wsp:rsid wsp:val=&quot;000A48B1&quot;/&gt;&lt;wsp:rsid wsp:val=&quot;000B3143&quot;/&gt;&lt;wsp:rsid wsp:val=&quot;000C6B05&quot;/&gt;&lt;wsp:rsid wsp:val=&quot;000C6DD6&quot;/&gt;&lt;wsp:rsid wsp:val=&quot;000C73D4&quot;/&gt;&lt;wsp:rsid wsp:val=&quot;000D3D4C&quot;/&gt;&lt;wsp:rsid wsp:val=&quot;000D4F51&quot;/&gt;&lt;wsp:rsid wsp:val=&quot;000D718B&quot;/&gt;&lt;wsp:rsid wsp:val=&quot;000E0C46&quot;/&gt;&lt;wsp:rsid wsp:val=&quot;000F030C&quot;/&gt;&lt;wsp:rsid wsp:val=&quot;000F129C&quot;/&gt;&lt;wsp:rsid wsp:val=&quot;001047BB&quot;/&gt;&lt;wsp:rsid wsp:val=&quot;001056DE&quot;/&gt;&lt;wsp:rsid wsp:val=&quot;001124C0&quot;/&gt;&lt;wsp:rsid wsp:val=&quot;0013175F&quot;/&gt;&lt;wsp:rsid wsp:val=&quot;001512B4&quot;/&gt;&lt;wsp:rsid wsp:val=&quot;001620A5&quot;/&gt;&lt;wsp:rsid wsp:val=&quot;00164E53&quot;/&gt;&lt;wsp:rsid wsp:val=&quot;0016699D&quot;/&gt;&lt;wsp:rsid wsp:val=&quot;00175159&quot;/&gt;&lt;wsp:rsid wsp:val=&quot;00176208&quot;/&gt;&lt;wsp:rsid wsp:val=&quot;0018211B&quot;/&gt;&lt;wsp:rsid wsp:val=&quot;001840D3&quot;/&gt;&lt;wsp:rsid wsp:val=&quot;001900F8&quot;/&gt;&lt;wsp:rsid wsp:val=&quot;00191258&quot;/&gt;&lt;wsp:rsid wsp:val=&quot;00192680&quot;/&gt;&lt;wsp:rsid wsp:val=&quot;00193037&quot;/&gt;&lt;wsp:rsid wsp:val=&quot;00193A2C&quot;/&gt;&lt;wsp:rsid wsp:val=&quot;001A288E&quot;/&gt;&lt;wsp:rsid wsp:val=&quot;001B6DC2&quot;/&gt;&lt;wsp:rsid wsp:val=&quot;001C149C&quot;/&gt;&lt;wsp:rsid wsp:val=&quot;001C21AC&quot;/&gt;&lt;wsp:rsid wsp:val=&quot;001C47BA&quot;/&gt;&lt;wsp:rsid wsp:val=&quot;001C59EA&quot;/&gt;&lt;wsp:rsid wsp:val=&quot;001D406C&quot;/&gt;&lt;wsp:rsid wsp:val=&quot;001D41EE&quot;/&gt;&lt;wsp:rsid wsp:val=&quot;001E0380&quot;/&gt;&lt;wsp:rsid wsp:val=&quot;001E13B1&quot;/&gt;&lt;wsp:rsid wsp:val=&quot;001E5C3E&quot;/&gt;&lt;wsp:rsid wsp:val=&quot;001E681D&quot;/&gt;&lt;wsp:rsid wsp:val=&quot;001F3A19&quot;/&gt;&lt;wsp:rsid wsp:val=&quot;00234467&quot;/&gt;&lt;wsp:rsid wsp:val=&quot;00237D8D&quot;/&gt;&lt;wsp:rsid wsp:val=&quot;00241DA2&quot;/&gt;&lt;wsp:rsid wsp:val=&quot;00247FEE&quot;/&gt;&lt;wsp:rsid wsp:val=&quot;00250E7D&quot;/&gt;&lt;wsp:rsid wsp:val=&quot;002565D5&quot;/&gt;&lt;wsp:rsid wsp:val=&quot;002622C0&quot;/&gt;&lt;wsp:rsid wsp:val=&quot;002778AE&quot;/&gt;&lt;wsp:rsid wsp:val=&quot;0028269A&quot;/&gt;&lt;wsp:rsid wsp:val=&quot;00283590&quot;/&gt;&lt;wsp:rsid wsp:val=&quot;00286973&quot;/&gt;&lt;wsp:rsid wsp:val=&quot;00294E70&quot;/&gt;&lt;wsp:rsid wsp:val=&quot;002A1924&quot;/&gt;&lt;wsp:rsid wsp:val=&quot;002A7420&quot;/&gt;&lt;wsp:rsid wsp:val=&quot;002B0F12&quot;/&gt;&lt;wsp:rsid wsp:val=&quot;002B1308&quot;/&gt;&lt;wsp:rsid wsp:val=&quot;002B4554&quot;/&gt;&lt;wsp:rsid wsp:val=&quot;002C72D8&quot;/&gt;&lt;wsp:rsid wsp:val=&quot;002D11FA&quot;/&gt;&lt;wsp:rsid wsp:val=&quot;002E0DDF&quot;/&gt;&lt;wsp:rsid wsp:val=&quot;002E1FB1&quot;/&gt;&lt;wsp:rsid wsp:val=&quot;002E2906&quot;/&gt;&lt;wsp:rsid wsp:val=&quot;002E5635&quot;/&gt;&lt;wsp:rsid wsp:val=&quot;002E64C3&quot;/&gt;&lt;wsp:rsid wsp:val=&quot;002E6A2C&quot;/&gt;&lt;wsp:rsid wsp:val=&quot;002F1D8C&quot;/&gt;&lt;wsp:rsid wsp:val=&quot;002F21DA&quot;/&gt;&lt;wsp:rsid wsp:val=&quot;00301F39&quot;/&gt;&lt;wsp:rsid wsp:val=&quot;00305F1A&quot;/&gt;&lt;wsp:rsid wsp:val=&quot;00325926&quot;/&gt;&lt;wsp:rsid wsp:val=&quot;00327A8A&quot;/&gt;&lt;wsp:rsid wsp:val=&quot;00336610&quot;/&gt;&lt;wsp:rsid wsp:val=&quot;00343F73&quot;/&gt;&lt;wsp:rsid wsp:val=&quot;00345060&quot;/&gt;&lt;wsp:rsid wsp:val=&quot;0035323B&quot;/&gt;&lt;wsp:rsid wsp:val=&quot;003609D2&quot;/&gt;&lt;wsp:rsid wsp:val=&quot;00363F22&quot;/&gt;&lt;wsp:rsid wsp:val=&quot;00375564&quot;/&gt;&lt;wsp:rsid wsp:val=&quot;00383191&quot;/&gt;&lt;wsp:rsid wsp:val=&quot;00386DED&quot;/&gt;&lt;wsp:rsid wsp:val=&quot;003912E7&quot;/&gt;&lt;wsp:rsid wsp:val=&quot;00393947&quot;/&gt;&lt;wsp:rsid wsp:val=&quot;003969B3&quot;/&gt;&lt;wsp:rsid wsp:val=&quot;003A2275&quot;/&gt;&lt;wsp:rsid wsp:val=&quot;003A6A4F&quot;/&gt;&lt;wsp:rsid wsp:val=&quot;003A7088&quot;/&gt;&lt;wsp:rsid wsp:val=&quot;003B00DF&quot;/&gt;&lt;wsp:rsid wsp:val=&quot;003B1275&quot;/&gt;&lt;wsp:rsid wsp:val=&quot;003B1778&quot;/&gt;&lt;wsp:rsid wsp:val=&quot;003C11CB&quot;/&gt;&lt;wsp:rsid wsp:val=&quot;003C18B7&quot;/&gt;&lt;wsp:rsid wsp:val=&quot;003C75F3&quot;/&gt;&lt;wsp:rsid wsp:val=&quot;003C78A3&quot;/&gt;&lt;wsp:rsid wsp:val=&quot;003E1867&quot;/&gt;&lt;wsp:rsid wsp:val=&quot;003E5729&quot;/&gt;&lt;wsp:rsid wsp:val=&quot;003F4EE0&quot;/&gt;&lt;wsp:rsid wsp:val=&quot;00402153&quot;/&gt;&lt;wsp:rsid wsp:val=&quot;00402FC1&quot;/&gt;&lt;wsp:rsid wsp:val=&quot;00425082&quot;/&gt;&lt;wsp:rsid wsp:val=&quot;00431DEB&quot;/&gt;&lt;wsp:rsid wsp:val=&quot;00446B29&quot;/&gt;&lt;wsp:rsid wsp:val=&quot;00453F9A&quot;/&gt;&lt;wsp:rsid wsp:val=&quot;00471E91&quot;/&gt;&lt;wsp:rsid wsp:val=&quot;00474675&quot;/&gt;&lt;wsp:rsid wsp:val=&quot;0047470C&quot;/&gt;&lt;wsp:rsid wsp:val=&quot;004A35F9&quot;/&gt;&lt;wsp:rsid wsp:val=&quot;004B24C1&quot;/&gt;&lt;wsp:rsid wsp:val=&quot;004C292F&quot;/&gt;&lt;wsp:rsid wsp:val=&quot;004F0284&quot;/&gt;&lt;wsp:rsid wsp:val=&quot;00510280&quot;/&gt;&lt;wsp:rsid wsp:val=&quot;00513D73&quot;/&gt;&lt;wsp:rsid wsp:val=&quot;00514A43&quot;/&gt;&lt;wsp:rsid wsp:val=&quot;005174E5&quot;/&gt;&lt;wsp:rsid wsp:val=&quot;00521CE8&quot;/&gt;&lt;wsp:rsid wsp:val=&quot;00522393&quot;/&gt;&lt;wsp:rsid wsp:val=&quot;00522620&quot;/&gt;&lt;wsp:rsid wsp:val=&quot;00525656&quot;/&gt;&lt;wsp:rsid wsp:val=&quot;00534C02&quot;/&gt;&lt;wsp:rsid wsp:val=&quot;005359E7&quot;/&gt;&lt;wsp:rsid wsp:val=&quot;0054264B&quot;/&gt;&lt;wsp:rsid wsp:val=&quot;00543786&quot;/&gt;&lt;wsp:rsid wsp:val=&quot;005533D7&quot;/&gt;&lt;wsp:rsid wsp:val=&quot;005703DE&quot;/&gt;&lt;wsp:rsid wsp:val=&quot;0058464E&quot;/&gt;&lt;wsp:rsid wsp:val=&quot;005A01CB&quot;/&gt;&lt;wsp:rsid wsp:val=&quot;005A58FF&quot;/&gt;&lt;wsp:rsid wsp:val=&quot;005A5EAF&quot;/&gt;&lt;wsp:rsid wsp:val=&quot;005A64C0&quot;/&gt;&lt;wsp:rsid wsp:val=&quot;005B3C11&quot;/&gt;&lt;wsp:rsid wsp:val=&quot;005C1C28&quot;/&gt;&lt;wsp:rsid wsp:val=&quot;005C6DB5&quot;/&gt;&lt;wsp:rsid wsp:val=&quot;005E19E7&quot;/&gt;&lt;wsp:rsid wsp:val=&quot;0061716C&quot;/&gt;&lt;wsp:rsid wsp:val=&quot;006243A1&quot;/&gt;&lt;wsp:rsid wsp:val=&quot;00632E56&quot;/&gt;&lt;wsp:rsid wsp:val=&quot;00635CBA&quot;/&gt;&lt;wsp:rsid wsp:val=&quot;0064338B&quot;/&gt;&lt;wsp:rsid wsp:val=&quot;00646542&quot;/&gt;&lt;wsp:rsid wsp:val=&quot;006504F4&quot;/&gt;&lt;wsp:rsid wsp:val=&quot;00654BC9&quot;/&gt;&lt;wsp:rsid wsp:val=&quot;006552FD&quot;/&gt;&lt;wsp:rsid wsp:val=&quot;00663AF3&quot;/&gt;&lt;wsp:rsid wsp:val=&quot;00666B6C&quot;/&gt;&lt;wsp:rsid wsp:val=&quot;00682682&quot;/&gt;&lt;wsp:rsid wsp:val=&quot;00682702&quot;/&gt;&lt;wsp:rsid wsp:val=&quot;00692368&quot;/&gt;&lt;wsp:rsid wsp:val=&quot;006A2EBC&quot;/&gt;&lt;wsp:rsid wsp:val=&quot;006A5EA0&quot;/&gt;&lt;wsp:rsid wsp:val=&quot;006A783B&quot;/&gt;&lt;wsp:rsid wsp:val=&quot;006A7B33&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4A7F&quot;/&gt;&lt;wsp:rsid wsp:val=&quot;00704DF6&quot;/&gt;&lt;wsp:rsid wsp:val=&quot;0070651C&quot;/&gt;&lt;wsp:rsid wsp:val=&quot;007132A3&quot;/&gt;&lt;wsp:rsid wsp:val=&quot;00716421&quot;/&gt;&lt;wsp:rsid wsp:val=&quot;00724EFB&quot;/&gt;&lt;wsp:rsid wsp:val=&quot;00730ABF&quot;/&gt;&lt;wsp:rsid wsp:val=&quot;007419C3&quot;/&gt;&lt;wsp:rsid wsp:val=&quot;007467A7&quot;/&gt;&lt;wsp:rsid wsp:val=&quot;007469DD&quot;/&gt;&lt;wsp:rsid wsp:val=&quot;0074741B&quot;/&gt;&lt;wsp:rsid wsp:val=&quot;0074759E&quot;/&gt;&lt;wsp:rsid wsp:val=&quot;007478EA&quot;/&gt;&lt;wsp:rsid wsp:val=&quot;0075415C&quot;/&gt;&lt;wsp:rsid wsp:val=&quot;007575DC&quot;/&gt;&lt;wsp:rsid wsp:val=&quot;00763502&quot;/&gt;&lt;wsp:rsid wsp:val=&quot;007913AB&quot;/&gt;&lt;wsp:rsid wsp:val=&quot;007914F7&quot;/&gt;&lt;wsp:rsid wsp:val=&quot;007B1625&quot;/&gt;&lt;wsp:rsid wsp:val=&quot;007B706E&quot;/&gt;&lt;wsp:rsid wsp:val=&quot;007B71EB&quot;/&gt;&lt;wsp:rsid wsp:val=&quot;007C6205&quot;/&gt;&lt;wsp:rsid wsp:val=&quot;007C686A&quot;/&gt;&lt;wsp:rsid wsp:val=&quot;007C728E&quot;/&gt;&lt;wsp:rsid wsp:val=&quot;007D2C53&quot;/&gt;&lt;wsp:rsid wsp:val=&quot;007D3D60&quot;/&gt;&lt;wsp:rsid wsp:val=&quot;007E1980&quot;/&gt;&lt;wsp:rsid wsp:val=&quot;007E4B76&quot;/&gt;&lt;wsp:rsid wsp:val=&quot;007E5EA8&quot;/&gt;&lt;wsp:rsid wsp:val=&quot;007F0CF1&quot;/&gt;&lt;wsp:rsid wsp:val=&quot;007F12A5&quot;/&gt;&lt;wsp:rsid wsp:val=&quot;007F4CF1&quot;/&gt;&lt;wsp:rsid wsp:val=&quot;007F758D&quot;/&gt;&lt;wsp:rsid wsp:val=&quot;007F7D52&quot;/&gt;&lt;wsp:rsid wsp:val=&quot;0080654C&quot;/&gt;&lt;wsp:rsid wsp:val=&quot;008071C6&quot;/&gt;&lt;wsp:rsid wsp:val=&quot;00817A00&quot;/&gt;&lt;wsp:rsid wsp:val=&quot;00835DB3&quot;/&gt;&lt;wsp:rsid wsp:val=&quot;0083617B&quot;/&gt;&lt;wsp:rsid wsp:val=&quot;008371BD&quot;/&gt;&lt;wsp:rsid wsp:val=&quot;008472C4&quot;/&gt;&lt;wsp:rsid wsp:val=&quot;008504A8&quot;/&gt;&lt;wsp:rsid wsp:val=&quot;0085282E&quot;/&gt;&lt;wsp:rsid wsp:val=&quot;00863408&quot;/&gt;&lt;wsp:rsid wsp:val=&quot;0087198C&quot;/&gt;&lt;wsp:rsid wsp:val=&quot;00872C1F&quot;/&gt;&lt;wsp:rsid wsp:val=&quot;00873B42&quot;/&gt;&lt;wsp:rsid wsp:val=&quot;008856D8&quot;/&gt;&lt;wsp:rsid wsp:val=&quot;00892E82&quot;/&gt;&lt;wsp:rsid wsp:val=&quot;008C1B58&quot;/&gt;&lt;wsp:rsid wsp:val=&quot;008C39AE&quot;/&gt;&lt;wsp:rsid wsp:val=&quot;008C590D&quot;/&gt;&lt;wsp:rsid wsp:val=&quot;008E031B&quot;/&gt;&lt;wsp:rsid wsp:val=&quot;008E7029&quot;/&gt;&lt;wsp:rsid wsp:val=&quot;008E7EF6&quot;/&gt;&lt;wsp:rsid wsp:val=&quot;008F1F98&quot;/&gt;&lt;wsp:rsid wsp:val=&quot;008F6758&quot;/&gt;&lt;wsp:rsid wsp:val=&quot;009040DD&quot;/&gt;&lt;wsp:rsid wsp:val=&quot;00905B47&quot;/&gt;&lt;wsp:rsid wsp:val=&quot;0091331C&quot;/&gt;&lt;wsp:rsid wsp:val=&quot;009279DE&quot;/&gt;&lt;wsp:rsid wsp:val=&quot;00930116&quot;/&gt;&lt;wsp:rsid wsp:val=&quot;0094212C&quot;/&gt;&lt;wsp:rsid wsp:val=&quot;00954689&quot;/&gt;&lt;wsp:rsid wsp:val=&quot;009617C9&quot;/&gt;&lt;wsp:rsid wsp:val=&quot;00961C93&quot;/&gt;&lt;wsp:rsid wsp:val=&quot;00965324&quot;/&gt;&lt;wsp:rsid wsp:val=&quot;0097091E&quot;/&gt;&lt;wsp:rsid wsp:val=&quot;009760D3&quot;/&gt;&lt;wsp:rsid wsp:val=&quot;00977132&quot;/&gt;&lt;wsp:rsid wsp:val=&quot;00981A4B&quot;/&gt;&lt;wsp:rsid wsp:val=&quot;00982501&quot;/&gt;&lt;wsp:rsid wsp:val=&quot;009877D3&quot;/&gt;&lt;wsp:rsid wsp:val=&quot;00994E8F&quot;/&gt;&lt;wsp:rsid wsp:val=&quot;009951DC&quot;/&gt;&lt;wsp:rsid wsp:val=&quot;009959BB&quot;/&gt;&lt;wsp:rsid wsp:val=&quot;00997158&quot;/&gt;&lt;wsp:rsid wsp:val=&quot;009A3A7C&quot;/&gt;&lt;wsp:rsid wsp:val=&quot;009B2ADB&quot;/&gt;&lt;wsp:rsid wsp:val=&quot;009B603A&quot;/&gt;&lt;wsp:rsid wsp:val=&quot;009C2D0E&quot;/&gt;&lt;wsp:rsid wsp:val=&quot;009C3DAC&quot;/&gt;&lt;wsp:rsid wsp:val=&quot;009C42E0&quot;/&gt;&lt;wsp:rsid wsp:val=&quot;009D5362&quot;/&gt;&lt;wsp:rsid wsp:val=&quot;009E1415&quot;/&gt;&lt;wsp:rsid wsp:val=&quot;009E6116&quot;/&gt;&lt;wsp:rsid wsp:val=&quot;00A02E43&quot;/&gt;&lt;wsp:rsid wsp:val=&quot;00A065F9&quot;/&gt;&lt;wsp:rsid wsp:val=&quot;00A07F34&quot;/&gt;&lt;wsp:rsid wsp:val=&quot;00A22154&quot;/&gt;&lt;wsp:rsid wsp:val=&quot;00A25C38&quot;/&gt;&lt;wsp:rsid wsp:val=&quot;00A36BBE&quot;/&gt;&lt;wsp:rsid wsp:val=&quot;00A4307A&quot;/&gt;&lt;wsp:rsid wsp:val=&quot;00A47EBB&quot;/&gt;&lt;wsp:rsid wsp:val=&quot;00A51CDD&quot;/&gt;&lt;wsp:rsid wsp:val=&quot;00A571FA&quot;/&gt;&lt;wsp:rsid wsp:val=&quot;00A6730D&quot;/&gt;&lt;wsp:rsid wsp:val=&quot;00A71625&quot;/&gt;&lt;wsp:rsid wsp:val=&quot;00A71B9B&quot;/&gt;&lt;wsp:rsid wsp:val=&quot;00A751C7&quot;/&gt;&lt;wsp:rsid wsp:val=&quot;00A87844&quot;/&gt;&lt;wsp:rsid wsp:val=&quot;00AA038C&quot;/&gt;&lt;wsp:rsid wsp:val=&quot;00AA7A09&quot;/&gt;&lt;wsp:rsid wsp:val=&quot;00AB3B50&quot;/&gt;&lt;wsp:rsid wsp:val=&quot;00AC05B1&quot;/&gt;&lt;wsp:rsid wsp:val=&quot;00AD356C&quot;/&gt;&lt;wsp:rsid wsp:val=&quot;00AE2914&quot;/&gt;&lt;wsp:rsid wsp:val=&quot;00AE5395&quot;/&gt;&lt;wsp:rsid wsp:val=&quot;00AE6D15&quot;/&gt;&lt;wsp:rsid wsp:val=&quot;00B04182&quot;/&gt;&lt;wsp:rsid wsp:val=&quot;00B07AE3&quot;/&gt;&lt;wsp:rsid wsp:val=&quot;00B11430&quot;/&gt;&lt;wsp:rsid wsp:val=&quot;00B353EB&quot;/&gt;&lt;wsp:rsid wsp:val=&quot;00B4228B&quot;/&gt;&lt;wsp:rsid wsp:val=&quot;00B439C4&quot;/&gt;&lt;wsp:rsid wsp:val=&quot;00B4535E&quot;/&gt;&lt;wsp:rsid wsp:val=&quot;00B5230C&quot;/&gt;&lt;wsp:rsid wsp:val=&quot;00B52A8C&quot;/&gt;&lt;wsp:rsid wsp:val=&quot;00B636A8&quot;/&gt;&lt;wsp:rsid wsp:val=&quot;00B665C6&quot;/&gt;&lt;wsp:rsid wsp:val=&quot;00B805AF&quot;/&gt;&lt;wsp:rsid wsp:val=&quot;00B869EC&quot;/&gt;&lt;wsp:rsid wsp:val=&quot;00B9135E&quot;/&gt;&lt;wsp:rsid wsp:val=&quot;00B9397A&quot;/&gt;&lt;wsp:rsid wsp:val=&quot;00B9633D&quot;/&gt;&lt;wsp:rsid wsp:val=&quot;00BA2EBE&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55CB&quot;/&gt;&lt;wsp:rsid wsp:val=&quot;00BF617A&quot;/&gt;&lt;wsp:rsid wsp:val=&quot;00C0379D&quot;/&gt;&lt;wsp:rsid wsp:val=&quot;00C03931&quot;/&gt;&lt;wsp:rsid wsp:val=&quot;00C05FE3&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4E1&quot;/&gt;&lt;wsp:rsid wsp:val=&quot;00C34397&quot;/&gt;&lt;wsp:rsid wsp:val=&quot;00C4095D&quot;/&gt;&lt;wsp:rsid wsp:val=&quot;00C601D2&quot;/&gt;&lt;wsp:rsid wsp:val=&quot;00C657AB&quot;/&gt;&lt;wsp:rsid wsp:val=&quot;00C65BCC&quot;/&gt;&lt;wsp:rsid wsp:val=&quot;00C66970&quot;/&gt;&lt;wsp:rsid wsp:val=&quot;00C8691C&quot;/&gt;&lt;wsp:rsid wsp:val=&quot;00CA168A&quot;/&gt;&lt;wsp:rsid wsp:val=&quot;00CA357E&quot;/&gt;&lt;wsp:rsid wsp:val=&quot;00CA44F9&quot;/&gt;&lt;wsp:rsid wsp:val=&quot;00CA4A69&quot;/&gt;&lt;wsp:rsid wsp:val=&quot;00CC3E0C&quot;/&gt;&lt;wsp:rsid wsp:val=&quot;00CC58D3&quot;/&gt;&lt;wsp:rsid wsp:val=&quot;00CC784D&quot;/&gt;&lt;wsp:rsid wsp:val=&quot;00CC79B1&quot;/&gt;&lt;wsp:rsid wsp:val=&quot;00CE39AE&quot;/&gt;&lt;wsp:rsid wsp:val=&quot;00D0337B&quot;/&gt;&lt;wsp:rsid wsp:val=&quot;00D079B2&quot;/&gt;&lt;wsp:rsid wsp:val=&quot;00D114E9&quot;/&gt;&lt;wsp:rsid wsp:val=&quot;00D429C6&quot;/&gt;&lt;wsp:rsid wsp:val=&quot;00D47748&quot;/&gt;&lt;wsp:rsid wsp:val=&quot;00D54CC3&quot;/&gt;&lt;wsp:rsid wsp:val=&quot;00D6041A&quot;/&gt;&lt;wsp:rsid wsp:val=&quot;00D633EB&quot;/&gt;&lt;wsp:rsid wsp:val=&quot;00D82FF7&quot;/&gt;&lt;wsp:rsid wsp:val=&quot;00D847FE&quot;/&gt;&lt;wsp:rsid wsp:val=&quot;00D964EA&quot;/&gt;&lt;wsp:rsid wsp:val=&quot;00D966D0&quot;/&gt;&lt;wsp:rsid wsp:val=&quot;00D96CBE&quot;/&gt;&lt;wsp:rsid wsp:val=&quot;00DA0C59&quot;/&gt;&lt;wsp:rsid wsp:val=&quot;00DA3991&quot;/&gt;&lt;wsp:rsid wsp:val=&quot;00DB7E6C&quot;/&gt;&lt;wsp:rsid wsp:val=&quot;00DD5A29&quot;/&gt;&lt;wsp:rsid wsp:val=&quot;00DD5D9D&quot;/&gt;&lt;wsp:rsid wsp:val=&quot;00DE35CB&quot;/&gt;&lt;wsp:rsid wsp:val=&quot;00DF21E9&quot;/&gt;&lt;wsp:rsid wsp:val=&quot;00E00F14&quot;/&gt;&lt;wsp:rsid wsp:val=&quot;00E06386&quot;/&gt;&lt;wsp:rsid wsp:val=&quot;00E24EB4&quot;/&gt;&lt;wsp:rsid wsp:val=&quot;00E320ED&quot;/&gt;&lt;wsp:rsid wsp:val=&quot;00E33AFB&quot;/&gt;&lt;wsp:rsid wsp:val=&quot;00E34218&quot;/&gt;&lt;wsp:rsid wsp:val=&quot;00E46282&quot;/&gt;&lt;wsp:rsid wsp:val=&quot;00E5216E&quot;/&gt;&lt;wsp:rsid wsp:val=&quot;00E714CD&quot;/&gt;&lt;wsp:rsid wsp:val=&quot;00E82344&quot;/&gt;&lt;wsp:rsid wsp:val=&quot;00E84C82&quot;/&gt;&lt;wsp:rsid wsp:val=&quot;00E84D64&quot;/&gt;&lt;wsp:rsid wsp:val=&quot;00E87408&quot;/&gt;&lt;wsp:rsid wsp:val=&quot;00E914C4&quot;/&gt;&lt;wsp:rsid wsp:val=&quot;00E934F5&quot;/&gt;&lt;wsp:rsid wsp:val=&quot;00E96961&quot;/&gt;&lt;wsp:rsid wsp:val=&quot;00EA72EC&quot;/&gt;&lt;wsp:rsid wsp:val=&quot;00EB11CB&quot;/&gt;&lt;wsp:rsid wsp:val=&quot;00EB275A&quot;/&gt;&lt;wsp:rsid wsp:val=&quot;00EB786A&quot;/&gt;&lt;wsp:rsid wsp:val=&quot;00EC1578&quot;/&gt;&lt;wsp:rsid wsp:val=&quot;00EC1C72&quot;/&gt;&lt;wsp:rsid wsp:val=&quot;00EC3CC9&quot;/&gt;&lt;wsp:rsid wsp:val=&quot;00EC680A&quot;/&gt;&lt;wsp:rsid wsp:val=&quot;00EE2BED&quot;/&gt;&lt;wsp:rsid wsp:val=&quot;00EE374B&quot;/&gt;&lt;wsp:rsid wsp:val=&quot;00F11BB5&quot;/&gt;&lt;wsp:rsid wsp:val=&quot;00F1417B&quot;/&gt;&lt;wsp:rsid wsp:val=&quot;00F34B99&quot;/&gt;&lt;wsp:rsid wsp:val=&quot;00F43A0E&quot;/&gt;&lt;wsp:rsid wsp:val=&quot;00F52DAB&quot;/&gt;&lt;wsp:rsid wsp:val=&quot;00F543F0&quot;/&gt;&lt;wsp:rsid wsp:val=&quot;00F81D29&quot;/&gt;&lt;wsp:rsid wsp:val=&quot;00F91C4D&quot;/&gt;&lt;wsp:rsid wsp:val=&quot;00F92FD9&quot;/&gt;&lt;wsp:rsid wsp:val=&quot;00FA6684&quot;/&gt;&lt;wsp:rsid wsp:val=&quot;00FA731E&quot;/&gt;&lt;wsp:rsid wsp:val=&quot;00FB2B38&quot;/&gt;&lt;wsp:rsid wsp:val=&quot;00FB3346&quot;/&gt;&lt;wsp:rsid wsp:val=&quot;00FC6358&quot;/&gt;&lt;wsp:rsid wsp:val=&quot;00FD320D&quot;/&gt;&lt;wsp:rsid wsp:val=&quot;00FE23DE&quot;/&gt;&lt;/wsp:rsids&gt;&lt;/w:docPr&gt;&lt;w:body&gt;&lt;wx:sect&gt;&lt;w:p wsp:rsidR=&quot;00730ABF&quot; wsp:rsidRDefault=&quot;00730ABF&quot; wsp:rsidP=&quot;00730ABF&quot;&gt;&lt;m:oMathPara&gt;&lt;m:oMath&gt;&lt;m:r&gt;&lt;w:rPr&gt;&lt;w:rFonts w:ascii=&quot;Cambria Math&quot;/&gt;&lt;wx:font wx:val=&quot;Cambria Math&quot;/&gt;&lt;w:i/&gt;&lt;/w:rPr&gt;&lt;m:t&gt;蠅=&lt;/m:t&gt;&lt;/m:r&gt;&lt;m:sSub&gt;&lt;m:sSubPr&gt;sssssssssssss&lt;m:ctrlPr&gt;&lt;w:rPr&gt;&lt;w:rFonts w:ascii=&quot;Cambria Math&quot;/&gt;&lt;wx:font wx:val=&quot;Cambria Math&quot;/&gt;&lt;w:i/&gt;&lt;/w:rPr&gt;&lt;/m:ctrlPr&gt;&lt;/m:sSubPr&gt;&lt;m:e&gt;&lt;m:r&gt;&lt;w:rPr&gt;&lt;w:rFonts w:ascii=&quot;Cambria Math&quot;/&gt;&lt;wx:font wx:val=&quot;Cambria Math&quot;/&gt;&lt;w:i/&gt;&lt;/w:rPr&gt;&lt;m:t&gt;蠅&lt;/m:t&gt;&lt;/m:r&gt;&lt;/m:e&gt;&lt;ms:sssusbs&gt;s&lt;sms:srs&gt;s&lt;sws:rPr&gt;&lt;w:rFonts w:ascii=&quot;Cambria Math&quot;/&gt;&lt;wx:font wx:val=&quot;Cambria Math&quot;/&gt;&lt;w:i/&gt;&lt;/w:rPr&gt;&lt;m:t&gt;1&lt;/m:t&gt;&lt;/m:r&gt;&lt;/m:sub&gt;&lt;/m:sSub&gt;&lt;m:r&gt;&lt;w:rPr&gt;&lt;w: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lt;:e:&gt;&lt;Sm:bsu&lt;b&gt;:&lt;mS:rb&gt;&lt;rw:&lt;rP:r&gt;t&lt;wl:rFonts w:ascii=&quot;Cambria Math&quot;/&gt;&lt;wx:font wx:val=&quot;Cambria Math&quot;/&gt;&lt;w:i/&gt;&lt;/w:rPr&gt;&lt;m:t&gt;2&lt;/m:t&gt;&lt;/m:r&gt;&lt;/m:sub&gt;&lt;/m:sSub&gt;&lt;m:r&gt;&lt;w:rPr&gt;&lt;w:rFonts w:ascii=&quot;Cambria Math&quot;/&gt;&lt;w:i/&gt;&lt;/w:rPr&gt;&lt;m:t&gt;脳&lt;/m:t&gt;&lt;/m:r&gt;&lt;m:r&gt;&lt;w:rPr&gt;&lt;w:rFonts w:asc&lt;ii=:&quot;CaSmbrbia &lt;Mat:h&quot;/S&gt;&lt;wbx:front&lt; wx::vatl=&quot;lCambria Math&quot;/&gt;&lt;w:i/&gt;&lt;/w:rPr&gt;&lt;m:t&gt;0.0662+&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3&lt;/m:t&gt;&lt;/m:r&gt;&lt;/m:sub&gt;&lt;/m:sSub&gt;&lt;m:r&gt;&lt;w:rPr&gt;&lt;w:r&gt;Fontrs w:tasci:i=&quot;CiambrCia Mrath&quot;M/&gt;&lt;w&quot;:i/&gt;w&lt;/w:orPr&gt;w&lt;m:ta&gt;脳&lt;/m:t&gt;&lt;/m:r&gt;&lt;m:r&gt;&lt;w:rPr&gt;&lt;w:rFonts w:ascii=&quot;Cambria Math&quot;/&gt;&lt;wx:font wx:val=&quot;Cambria Math&quot;/&gt;&lt;w:i/&gt;&lt;/w:rPr&gt;&lt;m:t&gt;0.1497+&lt;/m:t&gt;&lt;/m:r&gt;&lt;m:sSub&gt;&lt;m:sSubPr&gt;&lt;m:ctrlPr&gt;&lt;w:rPr&gt;&lt;w:rFonts w:ascii=&quot;Cambria Ma&gt;th&quot;/&gt;r&lt;wx:ftont w:x:vali=&quot;CamCbria rMath&quot;M/&gt;&lt;w:&quot;i/&gt;&lt;/ww:rPro&gt;&lt;/m:wctrlPar&gt;&lt;/m:sSubPr&gt;&lt;m:e&gt;&lt;m:r&gt;&lt;w:rPr&gt;&lt;w:rFonts w:ascii=&quot;Cambria Math&quot;/&gt;&lt;wx:font wx:val=&quot;Cambria Math&quot;/&gt;&lt;w:i/&gt;&lt;/w:rPr&gt;&lt;m:t&gt;蠅&lt;/m:t&gt;&lt;/m:r&gt;&lt;/m:e&gt;&lt;m:sub&gt;&lt;m:r&gt;&lt;w:rPr&gt;&lt;w:rFonts w:ascii=&quot;Cambria Ma&gt;th&quot;/&gt;&lt;rwx:fontt wx:v:al=&quot;Caimbria CMath&quot;/r&gt;&lt;w:i/M&gt;&lt;/w:r&quot;Pr&gt;&lt;m:wt&gt;4&lt;/mo:t&gt;&lt;/mw:r&gt;&lt;/ma:sub&gt;&lt;/m:sSub&gt;&lt;m:r&gt;&lt;w:rPr&gt;&lt;w:rFonts w:ascii=&quot;Cambria Math&quot;/&gt;&lt;w:i/&gt;&lt;/w:rPr&gt;&lt;m:t&gt;脳&lt;/m:t&gt;&lt;/m:r&gt;&lt;m:r&gt;&lt;w:rPr&gt;&lt;w:rFonts w:ascii=&quot;Cambria Math&quot;/&gt;&lt;wx:font wx:val=&quot;Cambria Math&quot;/&gt;&gt;&lt;w:i/&gt;&lt;r/w:rPr&gt;t&lt;m:t&gt;0.:3246+&lt;/im:t&gt;&lt;/mC:r&gt;&lt;m:srSub&gt;&lt;m:MsSubPr&gt;&quot;&lt;m:ctrlwPr&gt;&lt;w:roPr&gt;&lt;w:rwFonts wa:ascii=&quot;Cambria Math&quot;/&gt;&lt;wx:font wx:val=&quot;Cambria Math&quot;/&gt;&lt;w:i/&gt;&lt;/w:rPr&gt;&lt;/m:ctrlPr&gt;&lt;/m:sSubPr&gt;&lt;m:e&gt;&lt;m:r&gt;&lt;w:rPr&gt;&lt;w:rFonts w:ascii=&quot;Cambria Math&quot;/&gt;&lt;wx:font wx:val=&quot;Cambria Math&quot;/&gt;&lt;w:i/&gt;&lt;/w:rPr&gt;&lt;m:t&gt;蠅&lt;/m:Ct&gt;&lt;/m:r&gt;r&lt;/m:e&gt;&lt;mM:sub&gt;&lt;m:&quot;r&gt;&lt;w:rPrw&gt;&lt;w:rFonots w:ascwii=&quot;Cambaria Math&quot;/&gt;&lt;wx:font wx:val=&quot;Cambria Math&quot;/&gt;&lt;w:i/&gt;&lt;/w:rPr&gt;&lt;m:t&gt;5&lt;/m:t&gt;&lt;/m:r&gt;&lt;/m:sub&gt;&lt;/m:sSub&gt;&lt;m:r&gt;&lt;w:rPr&gt;&lt;w:rFonts w:ascii=&quot;Cambria Math&quot;/&gt;&lt;w:i/&gt;&lt;/w:rPr&quot;&gt;&lt;m:t&gt;脳a &lt;/m:t&gt;&lt;/&gt;&lt;m:r&gt;&lt;m:r/w&gt;&lt;w:rPr&gt;m:&lt;w:rFontsC w:ascii=r&quot;Cambria MMath&quot;/&gt;&lt;w&quot;x:font wxw:val=&quot;Camobria Mathw&quot;/&gt;&lt;w:i/&gt;a&lt;/w:rPr&gt;&lt;m:t&gt;0.3784&lt;/m:t&gt;&lt;/m:r&gt;&lt;/m:oMath&gt;&lt;/m:oMathPara&gt;&lt;/w:p&gt;&lt;w:sectPr wsp:rsidR=&quot;00000000&quot;&gt;&lt;w:pgSz w:w=&quot;12240&quot; w:h=&quot;15840&quot;/&gt;&lt;w:pgMar w&quot;:top=&quot;1440&quot; w:right=&quot;1800&quot; w:bottom=&quot;1440&quot; w:left=&quot;1800&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instrText xml:space="preserve"> </w:instrText>
      </w:r>
      <w:r>
        <w:fldChar w:fldCharType="separate"/>
      </w:r>
      <w:r>
        <w:fldChar w:fldCharType="end"/>
      </w:r>
      <w:r>
        <w:fldChar w:fldCharType="begin"/>
      </w:r>
      <w:r>
        <w:instrText xml:space="preserve"> QUOTE </w:instrText>
      </w:r>
      <w:r>
        <w:rPr>
          <w:position w:val="-8"/>
        </w:rPr>
        <w:pict>
          <v:shape id="_x0000_i1028" o:spt="75" type="#_x0000_t75" style="height:16.1pt;width:308.4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40&quot;/&gt;&lt;w:removePersonalInformation/&gt;&lt;w:doNotEmbedSystemFonts/&gt;&lt;w:bordersDontSurroundHeader/&gt;&lt;w:bordersDontSurroundFooter/&gt;&lt;w:stylePaneFormatFilter w:val=&quot;3F01&quot;/&gt;&lt;w:documentProtection w:edit=&quot;forms&quot; w:enforcement=&quot;on&quot; w:unprotectPassword=&quot;C8E3CFDF&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1A51&quot;/&gt;&lt;wsp:rsid wsp:val=&quot;000023E3&quot;/&gt;&lt;wsp:rsid wsp:val=&quot;0000586F&quot;/&gt;&lt;wsp:rsid wsp:val=&quot;00013D86&quot;/&gt;&lt;wsp:rsid wsp:val=&quot;00013E02&quot;/&gt;&lt;wsp:rsid wsp:val=&quot;00014490&quot;/&gt;&lt;wsp:rsid wsp:val=&quot;000144BF&quot;/&gt;&lt;wsp:rsid wsp:val=&quot;0002143C&quot;/&gt;&lt;wsp:rsid wsp:val=&quot;00024207&quot;/&gt;&lt;wsp:rsid wsp:val=&quot;00025A65&quot;/&gt;&lt;wsp:rsid wsp:val=&quot;00026C31&quot;/&gt;&lt;wsp:rsid wsp:val=&quot;00027280&quot;/&gt;&lt;wsp:rsid wsp:val=&quot;000320A7&quot;/&gt;&lt;wsp:rsid wsp:val=&quot;00035925&quot;/&gt;&lt;wsp:rsid wsp:val=&quot;00067CDF&quot;/&gt;&lt;wsp:rsid wsp:val=&quot;00070E6A&quot;/&gt;&lt;wsp:rsid wsp:val=&quot;000711BB&quot;/&gt;&lt;wsp:rsid wsp:val=&quot;00071749&quot;/&gt;&lt;wsp:rsid wsp:val=&quot;00074FBE&quot;/&gt;&lt;wsp:rsid wsp:val=&quot;00083A09&quot;/&gt;&lt;wsp:rsid wsp:val=&quot;00083D0F&quot;/&gt;&lt;wsp:rsid wsp:val=&quot;000860A5&quot;/&gt;&lt;wsp:rsid wsp:val=&quot;0009005E&quot;/&gt;&lt;wsp:rsid wsp:val=&quot;00092857&quot;/&gt;&lt;wsp:rsid wsp:val=&quot;000A011F&quot;/&gt;&lt;wsp:rsid wsp:val=&quot;000A20A9&quot;/&gt;&lt;wsp:rsid wsp:val=&quot;000A48B1&quot;/&gt;&lt;wsp:rsid wsp:val=&quot;000B3143&quot;/&gt;&lt;wsp:rsid wsp:val=&quot;000B34FC&quot;/&gt;&lt;wsp:rsid wsp:val=&quot;000B591F&quot;/&gt;&lt;wsp:rsid wsp:val=&quot;000B5FA5&quot;/&gt;&lt;wsp:rsid wsp:val=&quot;000B6917&quot;/&gt;&lt;wsp:rsid wsp:val=&quot;000B6ED3&quot;/&gt;&lt;wsp:rsid wsp:val=&quot;000C6B05&quot;/&gt;&lt;wsp:rsid wsp:val=&quot;000C6DD6&quot;/&gt;&lt;wsp:rsid wsp:val=&quot;000C73D4&quot;/&gt;&lt;wsp:rsid wsp:val=&quot;000D3D4C&quot;/&gt;&lt;wsp:rsid wsp:val=&quot;000D4F51&quot;/&gt;&lt;wsp:rsid wsp:val=&quot;000D6F84&quot;/&gt;&lt;wsp:rsid wsp:val=&quot;000D718B&quot;/&gt;&lt;wsp:rsid wsp:val=&quot;000D7E78&quot;/&gt;&lt;wsp:rsid wsp:val=&quot;000E0C46&quot;/&gt;&lt;wsp:rsid wsp:val=&quot;000E1AC3&quot;/&gt;&lt;wsp:rsid wsp:val=&quot;000E4FF4&quot;/&gt;&lt;wsp:rsid wsp:val=&quot;000F030C&quot;/&gt;&lt;wsp:rsid wsp:val=&quot;000F129C&quot;/&gt;&lt;wsp:rsid wsp:val=&quot;000F5169&quot;/&gt;&lt;wsp:rsid wsp:val=&quot;001056DE&quot;/&gt;&lt;wsp:rsid wsp:val=&quot;001124C0&quot;/&gt;&lt;wsp:rsid wsp:val=&quot;001162B4&quot;/&gt;&lt;wsp:rsid wsp:val=&quot;00121DDF&quot;/&gt;&lt;wsp:rsid wsp:val=&quot;00122CFC&quot;/&gt;&lt;wsp:rsid wsp:val=&quot;0013175F&quot;/&gt;&lt;wsp:rsid wsp:val=&quot;00141CD5&quot;/&gt;&lt;wsp:rsid wsp:val=&quot;001512B4&quot;/&gt;&lt;wsp:rsid wsp:val=&quot;001620A5&quot;/&gt;&lt;wsp:rsid wsp:val=&quot;00163070&quot;/&gt;&lt;wsp:rsid wsp:val=&quot;00164E53&quot;/&gt;&lt;wsp:rsid wsp:val=&quot;0016699D&quot;/&gt;&lt;wsp:rsid wsp:val=&quot;00175159&quot;/&gt;&lt;wsp:rsid wsp:val=&quot;00176208&quot;/&gt;&lt;wsp:rsid wsp:val=&quot;0018211B&quot;/&gt;&lt;wsp:rsid wsp:val=&quot;001840D3&quot;/&gt;&lt;wsp:rsid wsp:val=&quot;001900F8&quot;/&gt;&lt;wsp:rsid wsp:val=&quot;00190D1B&quot;/&gt;&lt;wsp:rsid wsp:val=&quot;00191258&quot;/&gt;&lt;wsp:rsid wsp:val=&quot;00192680&quot;/&gt;&lt;wsp:rsid wsp:val=&quot;00193037&quot;/&gt;&lt;wsp:rsid wsp:val=&quot;00193A2C&quot;/&gt;&lt;wsp:rsid wsp:val=&quot;00195D7C&quot;/&gt;&lt;wsp:rsid wsp:val=&quot;001A288E&quot;/&gt;&lt;wsp:rsid wsp:val=&quot;001B6DC2&quot;/&gt;&lt;wsp:rsid wsp:val=&quot;001C149C&quot;/&gt;&lt;wsp:rsid wsp:val=&quot;001C21AC&quot;/&gt;&lt;wsp:rsid wsp:val=&quot;001C47BA&quot;/&gt;&lt;wsp:rsid wsp:val=&quot;001C59EA&quot;/&gt;&lt;wsp:rsid wsp:val=&quot;001D3363&quot;/&gt;&lt;wsp:rsid wsp:val=&quot;001D406C&quot;/&gt;&lt;wsp:rsid wsp:val=&quot;001D41EE&quot;/&gt;&lt;wsp:rsid wsp:val=&quot;001E0380&quot;/&gt;&lt;wsp:rsid wsp:val=&quot;001E13B1&quot;/&gt;&lt;wsp:rsid wsp:val=&quot;001E3A12&quot;/&gt;&lt;wsp:rsid wsp:val=&quot;001F3A19&quot;/&gt;&lt;wsp:rsid wsp:val=&quot;00216D48&quot;/&gt;&lt;wsp:rsid wsp:val=&quot;002175EE&quot;/&gt;&lt;wsp:rsid wsp:val=&quot;00217BBA&quot;/&gt;&lt;wsp:rsid wsp:val=&quot;0022738A&quot;/&gt;&lt;wsp:rsid wsp:val=&quot;00234467&quot;/&gt;&lt;wsp:rsid wsp:val=&quot;00237D8D&quot;/&gt;&lt;wsp:rsid wsp:val=&quot;002403B0&quot;/&gt;&lt;wsp:rsid wsp:val=&quot;00241DA2&quot;/&gt;&lt;wsp:rsid wsp:val=&quot;00247FEE&quot;/&gt;&lt;wsp:rsid wsp:val=&quot;00250E7D&quot;/&gt;&lt;wsp:rsid wsp:val=&quot;00252132&quot;/&gt;&lt;wsp:rsid wsp:val=&quot;00255DFB&quot;/&gt;&lt;wsp:rsid wsp:val=&quot;002565D5&quot;/&gt;&lt;wsp:rsid wsp:val=&quot;002622C0&quot;/&gt;&lt;wsp:rsid wsp:val=&quot;00267F2C&quot;/&gt;&lt;wsp:rsid wsp:val=&quot;002778AE&quot;/&gt;&lt;wsp:rsid wsp:val=&quot;0028269A&quot;/&gt;&lt;wsp:rsid wsp:val=&quot;002831F7&quot;/&gt;&lt;wsp:rsid wsp:val=&quot;00283590&quot;/&gt;&lt;wsp:rsid wsp:val=&quot;0028550D&quot;/&gt;&lt;wsp:rsid wsp:val=&quot;00286973&quot;/&gt;&lt;wsp:rsid wsp:val=&quot;00294DF9&quot;/&gt;&lt;wsp:rsid wsp:val=&quot;00294E70&quot;/&gt;&lt;wsp:rsid wsp:val=&quot;00296A56&quot;/&gt;&lt;wsp:rsid wsp:val=&quot;002A1924&quot;/&gt;&lt;wsp:rsid wsp:val=&quot;002A3C29&quot;/&gt;&lt;wsp:rsid wsp:val=&quot;002A7420&quot;/&gt;&lt;wsp:rsid wsp:val=&quot;002B0F12&quot;/&gt;&lt;wsp:rsid wsp:val=&quot;002B1308&quot;/&gt;&lt;wsp:rsid wsp:val=&quot;002B31FD&quot;/&gt;&lt;wsp:rsid wsp:val=&quot;002B4554&quot;/&gt;&lt;wsp:rsid wsp:val=&quot;002C72D8&quot;/&gt;&lt;wsp:rsid wsp:val=&quot;002D11FA&quot;/&gt;&lt;wsp:rsid wsp:val=&quot;002E0DDF&quot;/&gt;&lt;wsp:rsid wsp:val=&quot;002E2906&quot;/&gt;&lt;wsp:rsid wsp:val=&quot;002E4A8E&quot;/&gt;&lt;wsp:rsid wsp:val=&quot;002E5635&quot;/&gt;&lt;wsp:rsid wsp:val=&quot;002E6439&quot;/&gt;&lt;wsp:rsid wsp:val=&quot;002E64C3&quot;/&gt;&lt;wsp:rsid wsp:val=&quot;002E6A2C&quot;/&gt;&lt;wsp:rsid wsp:val=&quot;002E7A58&quot;/&gt;&lt;wsp:rsid wsp:val=&quot;002F1D8C&quot;/&gt;&lt;wsp:rsid wsp:val=&quot;002F21DA&quot;/&gt;&lt;wsp:rsid wsp:val=&quot;002F45E3&quot;/&gt;&lt;wsp:rsid wsp:val=&quot;002F6B20&quot;/&gt;&lt;wsp:rsid wsp:val=&quot;0030198F&quot;/&gt;&lt;wsp:rsid wsp:val=&quot;00301F39&quot;/&gt;&lt;wsp:rsid wsp:val=&quot;00306794&quot;/&gt;&lt;wsp:rsid wsp:val=&quot;00312410&quot;/&gt;&lt;wsp:rsid wsp:val=&quot;00325926&quot;/&gt;&lt;wsp:rsid wsp:val=&quot;00326743&quot;/&gt;&lt;wsp:rsid wsp:val=&quot;00327A8A&quot;/&gt;&lt;wsp:rsid wsp:val=&quot;00334FCA&quot;/&gt;&lt;wsp:rsid wsp:val=&quot;00336610&quot;/&gt;&lt;wsp:rsid wsp:val=&quot;00343F73&quot;/&gt;&lt;wsp:rsid wsp:val=&quot;00345060&quot;/&gt;&lt;wsp:rsid wsp:val=&quot;0035323B&quot;/&gt;&lt;wsp:rsid wsp:val=&quot;003609D2&quot;/&gt;&lt;wsp:rsid wsp:val=&quot;00363F22&quot;/&gt;&lt;wsp:rsid wsp:val=&quot;00375564&quot;/&gt;&lt;wsp:rsid wsp:val=&quot;00380B11&quot;/&gt;&lt;wsp:rsid wsp:val=&quot;00383191&quot;/&gt;&lt;wsp:rsid wsp:val=&quot;00386DED&quot;/&gt;&lt;wsp:rsid wsp:val=&quot;003912E7&quot;/&gt;&lt;wsp:rsid wsp:val=&quot;00393947&quot;/&gt;&lt;wsp:rsid wsp:val=&quot;003A148B&quot;/&gt;&lt;wsp:rsid wsp:val=&quot;003A2275&quot;/&gt;&lt;wsp:rsid wsp:val=&quot;003A6A4F&quot;/&gt;&lt;wsp:rsid wsp:val=&quot;003A7088&quot;/&gt;&lt;wsp:rsid wsp:val=&quot;003B00DF&quot;/&gt;&lt;wsp:rsid wsp:val=&quot;003B1275&quot;/&gt;&lt;wsp:rsid wsp:val=&quot;003B1778&quot;/&gt;&lt;wsp:rsid wsp:val=&quot;003B6D03&quot;/&gt;&lt;wsp:rsid wsp:val=&quot;003C11CB&quot;/&gt;&lt;wsp:rsid wsp:val=&quot;003C75F3&quot;/&gt;&lt;wsp:rsid wsp:val=&quot;003C78A3&quot;/&gt;&lt;wsp:rsid wsp:val=&quot;003E1867&quot;/&gt;&lt;wsp:rsid wsp:val=&quot;003E24F0&quot;/&gt;&lt;wsp:rsid wsp:val=&quot;003E5729&quot;/&gt;&lt;wsp:rsid wsp:val=&quot;003F4EE0&quot;/&gt;&lt;wsp:rsid wsp:val=&quot;003F5A88&quot;/&gt;&lt;wsp:rsid wsp:val=&quot;0040058D&quot;/&gt;&lt;wsp:rsid wsp:val=&quot;00402153&quot;/&gt;&lt;wsp:rsid wsp:val=&quot;00402FC1&quot;/&gt;&lt;wsp:rsid wsp:val=&quot;00410055&quot;/&gt;&lt;wsp:rsid wsp:val=&quot;00413EB0&quot;/&gt;&lt;wsp:rsid wsp:val=&quot;00425082&quot;/&gt;&lt;wsp:rsid wsp:val=&quot;00431DEB&quot;/&gt;&lt;wsp:rsid wsp:val=&quot;00436FAC&quot;/&gt;&lt;wsp:rsid wsp:val=&quot;00446B29&quot;/&gt;&lt;wsp:rsid wsp:val=&quot;00453F9A&quot;/&gt;&lt;wsp:rsid wsp:val=&quot;0046728E&quot;/&gt;&lt;wsp:rsid wsp:val=&quot;00471E91&quot;/&gt;&lt;wsp:rsid wsp:val=&quot;00474675&quot;/&gt;&lt;wsp:rsid wsp:val=&quot;0047470C&quot;/&gt;&lt;wsp:rsid wsp:val=&quot;00486F17&quot;/&gt;&lt;wsp:rsid wsp:val=&quot;00493FE5&quot;/&gt;&lt;wsp:rsid wsp:val=&quot;004965EF&quot;/&gt;&lt;wsp:rsid wsp:val=&quot;004A35F9&quot;/&gt;&lt;wsp:rsid wsp:val=&quot;004B24C1&quot;/&gt;&lt;wsp:rsid wsp:val=&quot;004C292F&quot;/&gt;&lt;wsp:rsid wsp:val=&quot;004D4DB3&quot;/&gt;&lt;wsp:rsid wsp:val=&quot;004D68D2&quot;/&gt;&lt;wsp:rsid wsp:val=&quot;004E0FBB&quot;/&gt;&lt;wsp:rsid wsp:val=&quot;004E412A&quot;/&gt;&lt;wsp:rsid wsp:val=&quot;004E596F&quot;/&gt;&lt;wsp:rsid wsp:val=&quot;004F511D&quot;/&gt;&lt;wsp:rsid wsp:val=&quot;00502759&quot;/&gt;&lt;wsp:rsid wsp:val=&quot;00510280&quot;/&gt;&lt;wsp:rsid wsp:val=&quot;00513D73&quot;/&gt;&lt;wsp:rsid wsp:val=&quot;00514A43&quot;/&gt;&lt;wsp:rsid wsp:val=&quot;005174E5&quot;/&gt;&lt;wsp:rsid wsp:val=&quot;00522393&quot;/&gt;&lt;wsp:rsid wsp:val=&quot;00522620&quot;/&gt;&lt;wsp:rsid wsp:val=&quot;00525656&quot;/&gt;&lt;wsp:rsid wsp:val=&quot;005274ED&quot;/&gt;&lt;wsp:rsid wsp:val=&quot;00531EF5&quot;/&gt;&lt;wsp:rsid wsp:val=&quot;00534934&quot;/&gt;&lt;wsp:rsid wsp:val=&quot;00534C02&quot;/&gt;&lt;wsp:rsid wsp:val=&quot;00535D6C&quot;/&gt;&lt;wsp:rsid wsp:val=&quot;00536353&quot;/&gt;&lt;wsp:rsid wsp:val=&quot;0054264B&quot;/&gt;&lt;wsp:rsid wsp:val=&quot;00543786&quot;/&gt;&lt;wsp:rsid wsp:val=&quot;005533D7&quot;/&gt;&lt;wsp:rsid wsp:val=&quot;005703DE&quot;/&gt;&lt;wsp:rsid wsp:val=&quot;0058464E&quot;/&gt;&lt;wsp:rsid wsp:val=&quot;00592E41&quot;/&gt;&lt;wsp:rsid wsp:val=&quot;0059667D&quot;/&gt;&lt;wsp:rsid wsp:val=&quot;005976A7&quot;/&gt;&lt;wsp:rsid wsp:val=&quot;005A01CB&quot;/&gt;&lt;wsp:rsid wsp:val=&quot;005A235A&quot;/&gt;&lt;wsp:rsid wsp:val=&quot;005A58FF&quot;/&gt;&lt;wsp:rsid wsp:val=&quot;005A5EAF&quot;/&gt;&lt;wsp:rsid wsp:val=&quot;005A64C0&quot;/&gt;&lt;wsp:rsid wsp:val=&quot;005A7C0B&quot;/&gt;&lt;wsp:rsid wsp:val=&quot;005B09DE&quot;/&gt;&lt;wsp:rsid wsp:val=&quot;005B0F1E&quot;/&gt;&lt;wsp:rsid wsp:val=&quot;005B1420&quot;/&gt;&lt;wsp:rsid wsp:val=&quot;005B3C11&quot;/&gt;&lt;wsp:rsid wsp:val=&quot;005B7207&quot;/&gt;&lt;wsp:rsid wsp:val=&quot;005C1C28&quot;/&gt;&lt;wsp:rsid wsp:val=&quot;005C32BF&quot;/&gt;&lt;wsp:rsid wsp:val=&quot;005C6D17&quot;/&gt;&lt;wsp:rsid wsp:val=&quot;005C6DB5&quot;/&gt;&lt;wsp:rsid wsp:val=&quot;005D1373&quot;/&gt;&lt;wsp:rsid wsp:val=&quot;005D334C&quot;/&gt;&lt;wsp:rsid wsp:val=&quot;005E06E2&quot;/&gt;&lt;wsp:rsid wsp:val=&quot;005E19E7&quot;/&gt;&lt;wsp:rsid wsp:val=&quot;005F6536&quot;/&gt;&lt;wsp:rsid wsp:val=&quot;00606252&quot;/&gt;&lt;wsp:rsid wsp:val=&quot;00611D48&quot;/&gt;&lt;wsp:rsid wsp:val=&quot;006144D6&quot;/&gt;&lt;wsp:rsid wsp:val=&quot;0061479C&quot;/&gt;&lt;wsp:rsid wsp:val=&quot;0061716C&quot;/&gt;&lt;wsp:rsid wsp:val=&quot;006243A1&quot;/&gt;&lt;wsp:rsid wsp:val=&quot;00632E56&quot;/&gt;&lt;wsp:rsid wsp:val=&quot;00635CBA&quot;/&gt;&lt;wsp:rsid wsp:val=&quot;0064338B&quot;/&gt;&lt;wsp:rsid wsp:val=&quot;00646542&quot;/&gt;&lt;wsp:rsid wsp:val=&quot;00646BC1&quot;/&gt;&lt;wsp:rsid wsp:val=&quot;006504F4&quot;/&gt;&lt;wsp:rsid wsp:val=&quot;00651F0A&quot;/&gt;&lt;wsp:rsid wsp:val=&quot;00654BC9&quot;/&gt;&lt;wsp:rsid wsp:val=&quot;006552FD&quot;/&gt;&lt;wsp:rsid wsp:val=&quot;00661BAF&quot;/&gt;&lt;wsp:rsid wsp:val=&quot;0066220A&quot;/&gt;&lt;wsp:rsid wsp:val=&quot;00663AF3&quot;/&gt;&lt;wsp:rsid wsp:val=&quot;00666B6C&quot;/&gt;&lt;wsp:rsid wsp:val=&quot;00676120&quot;/&gt;&lt;wsp:rsid wsp:val=&quot;00682682&quot;/&gt;&lt;wsp:rsid wsp:val=&quot;00682702&quot;/&gt;&lt;wsp:rsid wsp:val=&quot;00692368&quot;/&gt;&lt;wsp:rsid wsp:val=&quot;006A2EBC&quot;/&gt;&lt;wsp:rsid wsp:val=&quot;006A5EA0&quot;/&gt;&lt;wsp:rsid wsp:val=&quot;006A783B&quot;/&gt;&lt;wsp:rsid wsp:val=&quot;006A7B33&quot;/&gt;&lt;wsp:rsid wsp:val=&quot;006B354D&quot;/&gt;&lt;wsp:rsid wsp:val=&quot;006B395E&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372E&quot;/&gt;&lt;wsp:rsid wsp:val=&quot;006E4A1A&quot;/&gt;&lt;wsp:rsid wsp:val=&quot;006E4A7F&quot;/&gt;&lt;wsp:rsid wsp:val=&quot;006F1F39&quot;/&gt;&lt;wsp:rsid wsp:val=&quot;00704DF6&quot;/&gt;&lt;wsp:rsid wsp:val=&quot;0070651C&quot;/&gt;&lt;wsp:rsid wsp:val=&quot;007132A3&quot;/&gt;&lt;wsp:rsid wsp:val=&quot;00714AF0&quot;/&gt;&lt;wsp:rsid wsp:val=&quot;00716421&quot;/&gt;&lt;wsp:rsid wsp:val=&quot;00724A15&quot;/&gt;&lt;wsp:rsid wsp:val=&quot;00724EFB&quot;/&gt;&lt;wsp:rsid wsp:val=&quot;007327CA&quot;/&gt;&lt;wsp:rsid wsp:val=&quot;007419C3&quot;/&gt;&lt;wsp:rsid wsp:val=&quot;007467A7&quot;/&gt;&lt;wsp:rsid wsp:val=&quot;007469DD&quot;/&gt;&lt;wsp:rsid wsp:val=&quot;0074741B&quot;/&gt;&lt;wsp:rsid wsp:val=&quot;0074759E&quot;/&gt;&lt;wsp:rsid wsp:val=&quot;007478EA&quot;/&gt;&lt;wsp:rsid wsp:val=&quot;00753A3A&quot;/&gt;&lt;wsp:rsid wsp:val=&quot;0075415C&quot;/&gt;&lt;wsp:rsid wsp:val=&quot;00755D6E&quot;/&gt;&lt;wsp:rsid wsp:val=&quot;00763502&quot;/&gt;&lt;wsp:rsid wsp:val=&quot;00774158&quot;/&gt;&lt;wsp:rsid wsp:val=&quot;0078623B&quot;/&gt;&lt;wsp:rsid wsp:val=&quot;007913AB&quot;/&gt;&lt;wsp:rsid wsp:val=&quot;007914F7&quot;/&gt;&lt;wsp:rsid wsp:val=&quot;0079194E&quot;/&gt;&lt;wsp:rsid wsp:val=&quot;007973A7&quot;/&gt;&lt;wsp:rsid wsp:val=&quot;00797CF1&quot;/&gt;&lt;wsp:rsid wsp:val=&quot;007B1625&quot;/&gt;&lt;wsp:rsid wsp:val=&quot;007B706E&quot;/&gt;&lt;wsp:rsid wsp:val=&quot;007B71EB&quot;/&gt;&lt;wsp:rsid wsp:val=&quot;007C3953&quot;/&gt;&lt;wsp:rsid wsp:val=&quot;007C6205&quot;/&gt;&lt;wsp:rsid wsp:val=&quot;007C686A&quot;/&gt;&lt;wsp:rsid wsp:val=&quot;007C728E&quot;/&gt;&lt;wsp:rsid wsp:val=&quot;007D2C53&quot;/&gt;&lt;wsp:rsid wsp:val=&quot;007D397C&quot;/&gt;&lt;wsp:rsid wsp:val=&quot;007D3D60&quot;/&gt;&lt;wsp:rsid wsp:val=&quot;007E1980&quot;/&gt;&lt;wsp:rsid wsp:val=&quot;007E4B76&quot;/&gt;&lt;wsp:rsid wsp:val=&quot;007E5EA8&quot;/&gt;&lt;wsp:rsid wsp:val=&quot;007F0CF1&quot;/&gt;&lt;wsp:rsid wsp:val=&quot;007F12A5&quot;/&gt;&lt;wsp:rsid wsp:val=&quot;007F345D&quot;/&gt;&lt;wsp:rsid wsp:val=&quot;007F4CF1&quot;/&gt;&lt;wsp:rsid wsp:val=&quot;007F4EEA&quot;/&gt;&lt;wsp:rsid wsp:val=&quot;007F758D&quot;/&gt;&lt;wsp:rsid wsp:val=&quot;007F7D52&quot;/&gt;&lt;wsp:rsid wsp:val=&quot;0080654C&quot;/&gt;&lt;wsp:rsid wsp:val=&quot;008071C6&quot;/&gt;&lt;wsp:rsid wsp:val=&quot;0081261E&quot;/&gt;&lt;wsp:rsid wsp:val=&quot;00812FCA&quot;/&gt;&lt;wsp:rsid wsp:val=&quot;00817A00&quot;/&gt;&lt;wsp:rsid wsp:val=&quot;00820A13&quot;/&gt;&lt;wsp:rsid wsp:val=&quot;0082688F&quot;/&gt;&lt;wsp:rsid wsp:val=&quot;00833E62&quot;/&gt;&lt;wsp:rsid wsp:val=&quot;00835DB3&quot;/&gt;&lt;wsp:rsid wsp:val=&quot;0083617B&quot;/&gt;&lt;wsp:rsid wsp:val=&quot;008371BD&quot;/&gt;&lt;wsp:rsid wsp:val=&quot;00850075&quot;/&gt;&lt;wsp:rsid wsp:val=&quot;008504A8&quot;/&gt;&lt;wsp:rsid wsp:val=&quot;00850E52&quot;/&gt;&lt;wsp:rsid wsp:val=&quot;0085105E&quot;/&gt;&lt;wsp:rsid wsp:val=&quot;00852030&quot;/&gt;&lt;wsp:rsid wsp:val=&quot;0085282E&quot;/&gt;&lt;wsp:rsid wsp:val=&quot;00864811&quot;/&gt;&lt;wsp:rsid wsp:val=&quot;0087198C&quot;/&gt;&lt;wsp:rsid wsp:val=&quot;00872C1F&quot;/&gt;&lt;wsp:rsid wsp:val=&quot;00873B42&quot;/&gt;&lt;wsp:rsid wsp:val=&quot;008830B3&quot;/&gt;&lt;wsp:rsid wsp:val=&quot;008856D8&quot;/&gt;&lt;wsp:rsid wsp:val=&quot;008915EB&quot;/&gt;&lt;wsp:rsid wsp:val=&quot;00892E82&quot;/&gt;&lt;wsp:rsid wsp:val=&quot;008B4D8A&quot;/&gt;&lt;wsp:rsid wsp:val=&quot;008C1B58&quot;/&gt;&lt;wsp:rsid wsp:val=&quot;008C372F&quot;/&gt;&lt;wsp:rsid wsp:val=&quot;008C39AE&quot;/&gt;&lt;wsp:rsid wsp:val=&quot;008C590D&quot;/&gt;&lt;wsp:rsid wsp:val=&quot;008D61D3&quot;/&gt;&lt;wsp:rsid wsp:val=&quot;008E031B&quot;/&gt;&lt;wsp:rsid wsp:val=&quot;008E7029&quot;/&gt;&lt;wsp:rsid wsp:val=&quot;008E7DCC&quot;/&gt;&lt;wsp:rsid wsp:val=&quot;008E7EF6&quot;/&gt;&lt;wsp:rsid wsp:val=&quot;008F0572&quot;/&gt;&lt;wsp:rsid wsp:val=&quot;008F1F98&quot;/&gt;&lt;wsp:rsid wsp:val=&quot;008F5FB6&quot;/&gt;&lt;wsp:rsid wsp:val=&quot;008F6758&quot;/&gt;&lt;wsp:rsid wsp:val=&quot;00901514&quot;/&gt;&lt;wsp:rsid wsp:val=&quot;00902541&quot;/&gt;&lt;wsp:rsid wsp:val=&quot;009040DD&quot;/&gt;&lt;wsp:rsid wsp:val=&quot;00905B47&quot;/&gt;&lt;wsp:rsid wsp:val=&quot;00905E2E&quot;/&gt;&lt;wsp:rsid wsp:val=&quot;0091331C&quot;/&gt;&lt;wsp:rsid wsp:val=&quot;00922402&quot;/&gt;&lt;wsp:rsid wsp:val=&quot;009279DE&quot;/&gt;&lt;wsp:rsid wsp:val=&quot;00930116&quot;/&gt;&lt;wsp:rsid wsp:val=&quot;0093784C&quot;/&gt;&lt;wsp:rsid wsp:val=&quot;009378E0&quot;/&gt;&lt;wsp:rsid wsp:val=&quot;009407DA&quot;/&gt;&lt;wsp:rsid wsp:val=&quot;0094212C&quot;/&gt;&lt;wsp:rsid wsp:val=&quot;00951FE4&quot;/&gt;&lt;wsp:rsid wsp:val=&quot;00952B5C&quot;/&gt;&lt;wsp:rsid wsp:val=&quot;00953DFD&quot;/&gt;&lt;wsp:rsid wsp:val=&quot;00954689&quot;/&gt;&lt;wsp:rsid wsp:val=&quot;0095730C&quot;/&gt;&lt;wsp:rsid wsp:val=&quot;009617C9&quot;/&gt;&lt;wsp:rsid wsp:val=&quot;00961C93&quot;/&gt;&lt;wsp:rsid wsp:val=&quot;00962575&quot;/&gt;&lt;wsp:rsid wsp:val=&quot;00965324&quot;/&gt;&lt;wsp:rsid wsp:val=&quot;0097091E&quot;/&gt;&lt;wsp:rsid wsp:val=&quot;0097189D&quot;/&gt;&lt;wsp:rsid wsp:val=&quot;009760D3&quot;/&gt;&lt;wsp:rsid wsp:val=&quot;00977132&quot;/&gt;&lt;wsp:rsid wsp:val=&quot;00981A4B&quot;/&gt;&lt;wsp:rsid wsp:val=&quot;00982501&quot;/&gt;&lt;wsp:rsid wsp:val=&quot;009838EA&quot;/&gt;&lt;wsp:rsid wsp:val=&quot;009877D3&quot;/&gt;&lt;wsp:rsid wsp:val=&quot;00994E8F&quot;/&gt;&lt;wsp:rsid wsp:val=&quot;009951DC&quot;/&gt;&lt;wsp:rsid wsp:val=&quot;009959BB&quot;/&gt;&lt;wsp:rsid wsp:val=&quot;00997158&quot;/&gt;&lt;wsp:rsid wsp:val=&quot;009A2E9B&quot;/&gt;&lt;wsp:rsid wsp:val=&quot;009A3A7C&quot;/&gt;&lt;wsp:rsid wsp:val=&quot;009A53B1&quot;/&gt;&lt;wsp:rsid wsp:val=&quot;009B2ADB&quot;/&gt;&lt;wsp:rsid wsp:val=&quot;009B4E64&quot;/&gt;&lt;wsp:rsid wsp:val=&quot;009B603A&quot;/&gt;&lt;wsp:rsid wsp:val=&quot;009C2D0E&quot;/&gt;&lt;wsp:rsid wsp:val=&quot;009C3C13&quot;/&gt;&lt;wsp:rsid wsp:val=&quot;009C3DAC&quot;/&gt;&lt;wsp:rsid wsp:val=&quot;009C42E0&quot;/&gt;&lt;wsp:rsid wsp:val=&quot;009D5362&quot;/&gt;&lt;wsp:rsid wsp:val=&quot;009E1415&quot;/&gt;&lt;wsp:rsid wsp:val=&quot;009E6116&quot;/&gt;&lt;wsp:rsid wsp:val=&quot;009F5527&quot;/&gt;&lt;wsp:rsid wsp:val=&quot;009F75D3&quot;/&gt;&lt;wsp:rsid wsp:val=&quot;00A02E43&quot;/&gt;&lt;wsp:rsid wsp:val=&quot;00A065F9&quot;/&gt;&lt;wsp:rsid wsp:val=&quot;00A07F34&quot;/&gt;&lt;wsp:rsid wsp:val=&quot;00A1091E&quot;/&gt;&lt;wsp:rsid wsp:val=&quot;00A1764F&quot;/&gt;&lt;wsp:rsid wsp:val=&quot;00A22154&quot;/&gt;&lt;wsp:rsid wsp:val=&quot;00A24B2D&quot;/&gt;&lt;wsp:rsid wsp:val=&quot;00A25C38&quot;/&gt;&lt;wsp:rsid wsp:val=&quot;00A3323D&quot;/&gt;&lt;wsp:rsid wsp:val=&quot;00A36BBE&quot;/&gt;&lt;wsp:rsid wsp:val=&quot;00A3765E&quot;/&gt;&lt;wsp:rsid wsp:val=&quot;00A4307A&quot;/&gt;&lt;wsp:rsid wsp:val=&quot;00A46484&quot;/&gt;&lt;wsp:rsid wsp:val=&quot;00A47EBB&quot;/&gt;&lt;wsp:rsid wsp:val=&quot;00A51CDD&quot;/&gt;&lt;wsp:rsid wsp:val=&quot;00A6730D&quot;/&gt;&lt;wsp:rsid wsp:val=&quot;00A71625&quot;/&gt;&lt;wsp:rsid wsp:val=&quot;00A71B9B&quot;/&gt;&lt;wsp:rsid wsp:val=&quot;00A751C7&quot;/&gt;&lt;wsp:rsid wsp:val=&quot;00A84C8D&quot;/&gt;&lt;wsp:rsid wsp:val=&quot;00A87844&quot;/&gt;&lt;wsp:rsid wsp:val=&quot;00A93685&quot;/&gt;&lt;wsp:rsid wsp:val=&quot;00AA038C&quot;/&gt;&lt;wsp:rsid wsp:val=&quot;00AA7A09&quot;/&gt;&lt;wsp:rsid wsp:val=&quot;00AB3B50&quot;/&gt;&lt;wsp:rsid wsp:val=&quot;00AC05B1&quot;/&gt;&lt;wsp:rsid wsp:val=&quot;00AC7F5A&quot;/&gt;&lt;wsp:rsid wsp:val=&quot;00AD356C&quot;/&gt;&lt;wsp:rsid wsp:val=&quot;00AE2914&quot;/&gt;&lt;wsp:rsid wsp:val=&quot;00AE2CCB&quot;/&gt;&lt;wsp:rsid wsp:val=&quot;00AE6D15&quot;/&gt;&lt;wsp:rsid wsp:val=&quot;00AF00B2&quot;/&gt;&lt;wsp:rsid wsp:val=&quot;00AF2CCD&quot;/&gt;&lt;wsp:rsid wsp:val=&quot;00B04182&quot;/&gt;&lt;wsp:rsid wsp:val=&quot;00B07AE3&quot;/&gt;&lt;wsp:rsid wsp:val=&quot;00B11430&quot;/&gt;&lt;wsp:rsid wsp:val=&quot;00B30278&quot;/&gt;&lt;wsp:rsid wsp:val=&quot;00B353EB&quot;/&gt;&lt;wsp:rsid wsp:val=&quot;00B419AC&quot;/&gt;&lt;wsp:rsid wsp:val=&quot;00B439C4&quot;/&gt;&lt;wsp:rsid wsp:val=&quot;00B4535E&quot;/&gt;&lt;wsp:rsid wsp:val=&quot;00B52A8C&quot;/&gt;&lt;wsp:rsid wsp:val=&quot;00B636A8&quot;/&gt;&lt;wsp:rsid wsp:val=&quot;00B665C6&quot;/&gt;&lt;wsp:rsid wsp:val=&quot;00B7194A&quot;/&gt;&lt;wsp:rsid wsp:val=&quot;00B7343A&quot;/&gt;&lt;wsp:rsid wsp:val=&quot;00B805AF&quot;/&gt;&lt;wsp:rsid wsp:val=&quot;00B869EC&quot;/&gt;&lt;wsp:rsid wsp:val=&quot;00B9397A&quot;/&gt;&lt;wsp:rsid wsp:val=&quot;00B9633D&quot;/&gt;&lt;wsp:rsid wsp:val=&quot;00B96B9D&quot;/&gt;&lt;wsp:rsid wsp:val=&quot;00BA2EBE&quot;/&gt;&lt;wsp:rsid wsp:val=&quot;00BB092B&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38C4&quot;/&gt;&lt;wsp:rsid wsp:val=&quot;00BE55CB&quot;/&gt;&lt;wsp:rsid wsp:val=&quot;00BE573F&quot;/&gt;&lt;wsp:rsid wsp:val=&quot;00BF5B42&quot;/&gt;&lt;wsp:rsid wsp:val=&quot;00BF617A&quot;/&gt;&lt;wsp:rsid wsp:val=&quot;00C0379D&quot;/&gt;&lt;wsp:rsid wsp:val=&quot;00C03931&quot;/&gt;&lt;wsp:rsid wsp:val=&quot;00C05FE3&quot;/&gt;&lt;wsp:rsid wsp:val=&quot;00C178D1&quot;/&gt;&lt;wsp:rsid wsp:val=&quot;00C2136D&quot;/&gt;&lt;wsp:rsid wsp:val=&quot;00C21420&quot;/&gt;&lt;wsp:rsid wsp:val=&quot;00C214EE&quot;/&gt;&lt;wsp:rsid wsp:val=&quot;00C2314B&quot;/&gt;&lt;wsp:rsid wsp:val=&quot;00C23F57&quot;/&gt;&lt;wsp:rsid wsp:val=&quot;00C24971&quot;/&gt;&lt;wsp:rsid wsp:val=&quot;00C26BE5&quot;/&gt;&lt;wsp:rsid wsp:val=&quot;00C26E4D&quot;/&gt;&lt;wsp:rsid wsp:val=&quot;00C27909&quot;/&gt;&lt;wsp:rsid wsp:val=&quot;00C27B03&quot;/&gt;&lt;wsp:rsid wsp:val=&quot;00C314E1&quot;/&gt;&lt;wsp:rsid wsp:val=&quot;00C340C8&quot;/&gt;&lt;wsp:rsid wsp:val=&quot;00C34397&quot;/&gt;&lt;wsp:rsid wsp:val=&quot;00C4095D&quot;/&gt;&lt;wsp:rsid wsp:val=&quot;00C46900&quot;/&gt;&lt;wsp:rsid wsp:val=&quot;00C601D2&quot;/&gt;&lt;wsp:rsid wsp:val=&quot;00C657AB&quot;/&gt;&lt;wsp:rsid wsp:val=&quot;00C65BCC&quot;/&gt;&lt;wsp:rsid wsp:val=&quot;00C66970&quot;/&gt;&lt;wsp:rsid wsp:val=&quot;00C73442&quot;/&gt;&lt;wsp:rsid wsp:val=&quot;00C75599&quot;/&gt;&lt;wsp:rsid wsp:val=&quot;00C808C3&quot;/&gt;&lt;wsp:rsid wsp:val=&quot;00C8691C&quot;/&gt;&lt;wsp:rsid wsp:val=&quot;00C95B50&quot;/&gt;&lt;wsp:rsid wsp:val=&quot;00CA15D0&quot;/&gt;&lt;wsp:rsid wsp:val=&quot;00CA168A&quot;/&gt;&lt;wsp:rsid wsp:val=&quot;00CA357E&quot;/&gt;&lt;wsp:rsid wsp:val=&quot;00CA44F9&quot;/&gt;&lt;wsp:rsid wsp:val=&quot;00CA4A69&quot;/&gt;&lt;wsp:rsid wsp:val=&quot;00CA5B54&quot;/&gt;&lt;wsp:rsid wsp:val=&quot;00CC3E0C&quot;/&gt;&lt;wsp:rsid wsp:val=&quot;00CC58D3&quot;/&gt;&lt;wsp:rsid wsp:val=&quot;00CC7434&quot;/&gt;&lt;wsp:rsid wsp:val=&quot;00CC784D&quot;/&gt;&lt;wsp:rsid wsp:val=&quot;00CE368C&quot;/&gt;&lt;wsp:rsid wsp:val=&quot;00CF7A1B&quot;/&gt;&lt;wsp:rsid wsp:val=&quot;00D0337B&quot;/&gt;&lt;wsp:rsid wsp:val=&quot;00D079B2&quot;/&gt;&lt;wsp:rsid wsp:val=&quot;00D114E9&quot;/&gt;&lt;wsp:rsid wsp:val=&quot;00D238C4&quot;/&gt;&lt;wsp:rsid wsp:val=&quot;00D25DF7&quot;/&gt;&lt;wsp:rsid wsp:val=&quot;00D32EF3&quot;/&gt;&lt;wsp:rsid wsp:val=&quot;00D34610&quot;/&gt;&lt;wsp:rsid wsp:val=&quot;00D429C6&quot;/&gt;&lt;wsp:rsid wsp:val=&quot;00D47748&quot;/&gt;&lt;wsp:rsid wsp:val=&quot;00D54CC3&quot;/&gt;&lt;wsp:rsid wsp:val=&quot;00D566B1&quot;/&gt;&lt;wsp:rsid wsp:val=&quot;00D6041A&quot;/&gt;&lt;wsp:rsid wsp:val=&quot;00D633EB&quot;/&gt;&lt;wsp:rsid wsp:val=&quot;00D82FF7&quot;/&gt;&lt;wsp:rsid wsp:val=&quot;00D847FE&quot;/&gt;&lt;wsp:rsid wsp:val=&quot;00D964EA&quot;/&gt;&lt;wsp:rsid wsp:val=&quot;00D966D0&quot;/&gt;&lt;wsp:rsid wsp:val=&quot;00DA0C59&quot;/&gt;&lt;wsp:rsid wsp:val=&quot;00DA3991&quot;/&gt;&lt;wsp:rsid wsp:val=&quot;00DB18D6&quot;/&gt;&lt;wsp:rsid wsp:val=&quot;00DB1D2D&quot;/&gt;&lt;wsp:rsid wsp:val=&quot;00DB7E6C&quot;/&gt;&lt;wsp:rsid wsp:val=&quot;00DC43C9&quot;/&gt;&lt;wsp:rsid wsp:val=&quot;00DD5A29&quot;/&gt;&lt;wsp:rsid wsp:val=&quot;00DD5D9D&quot;/&gt;&lt;wsp:rsid wsp:val=&quot;00DE35CB&quot;/&gt;&lt;wsp:rsid wsp:val=&quot;00DE4DAF&quot;/&gt;&lt;wsp:rsid wsp:val=&quot;00DF137D&quot;/&gt;&lt;wsp:rsid wsp:val=&quot;00DF21E9&quot;/&gt;&lt;wsp:rsid wsp:val=&quot;00DF4DD9&quot;/&gt;&lt;wsp:rsid wsp:val=&quot;00E00F14&quot;/&gt;&lt;wsp:rsid wsp:val=&quot;00E06386&quot;/&gt;&lt;wsp:rsid wsp:val=&quot;00E075D3&quot;/&gt;&lt;wsp:rsid wsp:val=&quot;00E11EFE&quot;/&gt;&lt;wsp:rsid wsp:val=&quot;00E17F3A&quot;/&gt;&lt;wsp:rsid wsp:val=&quot;00E24EB4&quot;/&gt;&lt;wsp:rsid wsp:val=&quot;00E31097&quot;/&gt;&lt;wsp:rsid wsp:val=&quot;00E320ED&quot;/&gt;&lt;wsp:rsid wsp:val=&quot;00E33AFB&quot;/&gt;&lt;wsp:rsid wsp:val=&quot;00E34218&quot;/&gt;&lt;wsp:rsid wsp:val=&quot;00E37DEA&quot;/&gt;&lt;wsp:rsid wsp:val=&quot;00E46282&quot;/&gt;&lt;wsp:rsid wsp:val=&quot;00E5216E&quot;/&gt;&lt;wsp:rsid wsp:val=&quot;00E5767E&quot;/&gt;&lt;wsp:rsid wsp:val=&quot;00E82344&quot;/&gt;&lt;wsp:rsid wsp:val=&quot;00E84C82&quot;/&gt;&lt;wsp:rsid wsp:val=&quot;00E84D64&quot;/&gt;&lt;wsp:rsid wsp:val=&quot;00E85FDB&quot;/&gt;&lt;wsp:rsid wsp:val=&quot;00E87408&quot;/&gt;&lt;wsp:rsid wsp:val=&quot;00E9065C&quot;/&gt;&lt;wsp:rsid wsp:val=&quot;00E914C4&quot;/&gt;&lt;wsp:rsid wsp:val=&quot;00E934F5&quot;/&gt;&lt;wsp:rsid wsp:val=&quot;00E9368F&quot;/&gt;&lt;wsp:rsid wsp:val=&quot;00E96961&quot;/&gt;&lt;wsp:rsid wsp:val=&quot;00EA3A16&quot;/&gt;&lt;wsp:rsid wsp:val=&quot;00EA72EC&quot;/&gt;&lt;wsp:rsid wsp:val=&quot;00EB0674&quot;/&gt;&lt;wsp:rsid wsp:val=&quot;00EB11CB&quot;/&gt;&lt;wsp:rsid wsp:val=&quot;00EB275A&quot;/&gt;&lt;wsp:rsid wsp:val=&quot;00EB3278&quot;/&gt;&lt;wsp:rsid wsp:val=&quot;00EB786A&quot;/&gt;&lt;wsp:rsid wsp:val=&quot;00EC1578&quot;/&gt;&lt;wsp:rsid wsp:val=&quot;00EC1C72&quot;/&gt;&lt;wsp:rsid wsp:val=&quot;00EC3CC9&quot;/&gt;&lt;wsp:rsid wsp:val=&quot;00EC4046&quot;/&gt;&lt;wsp:rsid wsp:val=&quot;00EC680A&quot;/&gt;&lt;wsp:rsid wsp:val=&quot;00ED0E0A&quot;/&gt;&lt;wsp:rsid wsp:val=&quot;00ED1957&quot;/&gt;&lt;wsp:rsid wsp:val=&quot;00ED3958&quot;/&gt;&lt;wsp:rsid wsp:val=&quot;00EE2BED&quot;/&gt;&lt;wsp:rsid wsp:val=&quot;00EE374B&quot;/&gt;&lt;wsp:rsid wsp:val=&quot;00EF203A&quot;/&gt;&lt;wsp:rsid wsp:val=&quot;00EF26DC&quot;/&gt;&lt;wsp:rsid wsp:val=&quot;00F06D01&quot;/&gt;&lt;wsp:rsid wsp:val=&quot;00F11BB5&quot;/&gt;&lt;wsp:rsid wsp:val=&quot;00F1417B&quot;/&gt;&lt;wsp:rsid wsp:val=&quot;00F34B99&quot;/&gt;&lt;wsp:rsid wsp:val=&quot;00F507B4&quot;/&gt;&lt;wsp:rsid wsp:val=&quot;00F52DAB&quot;/&gt;&lt;wsp:rsid wsp:val=&quot;00F543F0&quot;/&gt;&lt;wsp:rsid wsp:val=&quot;00F55554&quot;/&gt;&lt;wsp:rsid wsp:val=&quot;00F57C26&quot;/&gt;&lt;wsp:rsid wsp:val=&quot;00F642C1&quot;/&gt;&lt;wsp:rsid wsp:val=&quot;00F7541D&quot;/&gt;&lt;wsp:rsid wsp:val=&quot;00F81D29&quot;/&gt;&lt;wsp:rsid wsp:val=&quot;00F91C4D&quot;/&gt;&lt;wsp:rsid wsp:val=&quot;00F92FD9&quot;/&gt;&lt;wsp:rsid wsp:val=&quot;00FA6684&quot;/&gt;&lt;wsp:rsid wsp:val=&quot;00FA731E&quot;/&gt;&lt;wsp:rsid wsp:val=&quot;00FB07D9&quot;/&gt;&lt;wsp:rsid wsp:val=&quot;00FB2B38&quot;/&gt;&lt;wsp:rsid wsp:val=&quot;00FC6358&quot;/&gt;&lt;wsp:rsid wsp:val=&quot;00FD320D&quot;/&gt;&lt;wsp:rsid wsp:val=&quot;00FE23DE&quot;/&gt;&lt;/wsp:rsids&gt;&lt;/w:docPr&gt;&lt;w:body&gt;&lt;wx:sect&gt;&lt;w:p wsp:rsidR=&quot;00000000&quot; wsp:rsidRDefault=&quot;00797CF1&quot; wsp:rsidP=&quot;00797CF1&quot;&gt;&lt;m:oMathPara&gt;&lt;m:oMath&gt;&lt;m:r&gt;&lt;m:rPr&gt;&lt;m:sty m:val=&quot;p&quot;/&gt;&lt;/m:rPr&gt;&lt;w:rPr&gt;&lt;w:rFonts w:ascii=&quot;Cambria Math&quot; w:h-ansi=&quot;Cambria Math&quot;/&gt;&lt;wx:font wx:val=&quot;Cambria Math&quot;/&gt;&lt;/w:rPr&gt;&lt;m:t&gt;蠅&lt;/m:t&gt;&lt;/m:r&gt;&lt;m:r&gt;&lt;m:rPr&gt;&lt;m:sty m:val=&quot;p&quot;/&gt;&lt;/m:rPr&gt;&lt;w:rPr&gt;&lt;w:rFonts w:ascii=&quot;C9999999999999ambria Math&quot; w:h-ansi=&quot;Cambria Math&quot; w:hint=&quot;fareast&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roPnrt&gt;s&lt; /wm::acstcriliP=&quot;Cambria Math&quot; w:h-ansi=&quot;Cambria Math&quot;/&gt;&lt;wx:font wx:val=&quot;Cambria Math&quot;/&gt;&lt;/w:rPr&gt;&lt;m:t&gt;1&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 w:ascii=&quot;Cambria Math&quot; w:h-ansi=&quot;Cambria Math&quot;/&gt;&lt;wx:font wx:val=&quot;Cambria Mratoh&quot;t/&gt; &lt;/:w:srPir&gt;=&lt;mC:tm&gt;2r&lt;/am:Mt&gt;&lt;/m:r&gt;&lt;/m:sub&gt;&lt;/m:sSub&gt;&lt;m:r&gt;&lt;m:rPr&gt;&lt;m:sty m:val=&quot;p&quot;/&gt;&lt;/m:rPr&gt;&lt;w:rPr&gt;&lt;w:rFonts w:ascii=&quot;Cambria Math&quot; w:h-ansi=&quot;Cambria Math&quot;/&gt;&lt;wx:font wx:val=&quot;Cambria Math&quot;/&gt;&lt;/w:rPr&gt;&lt;m:t&gt;脳&lt;/m:t&gt;&lt;/m:r&gt;&lt;m:r&gt;&lt;m:rPr&gt;&lt;m:sty m:val=&quot;p&quot;/&gt;&lt;/rm:roPr&gt;t&lt;w: rPr:&gt;&lt;ws:rFiont=s wC:asmciir=&quot;CaambMria Math&quot; w:h-ansi=&quot;Cambria Math&quot; w:hint=&quot;fareast&quot;/&gt;&lt;wx:font wx:val=&quot;Cambria Math&quot;/&gt;&lt;/w:rPr&gt;&lt;m:t&gt;0.0622&lt;/m:t&gt;&lt;/m:r&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 w:ascii=&quot;Cambria Math&quot; w:h-ansi=&quot;Cambria Math&quot; w:hi&quot;nt=&quot;&gt;fare:ast&quot;&gt;/&gt;&lt;wrx:fo&lt;nt wFx:vasl=&quot;Caambriia Maath&quot;i/&gt;&lt;/aw:rPr&gt;&lt;m:t&gt;3&lt;/m:t&gt;&lt;/m:r&gt;&lt;/m:sub&gt;&lt;/m:sSub&gt;&lt;m:r&gt;&lt;m:rPr&gt;&lt;m:sty m:val=&quot;p&quot;/&gt;&lt;/m:rPr&gt;&lt;w:rPr&gt;&lt;w:rFonts w:ascii=&quot;Cambria Math&quot; w:h-ansi=&quot;Cambria Math&quot;/&gt;&lt;wx:font wx:val=&quot;Cambria Math&quot;/&gt;&lt;/w:rPr&gt;&lt;m:t&gt;脳&lt;/m:&quot;t&gt;&lt;/m&gt;:r&gt;&lt;m::r&gt;&lt;m&gt;:rPr&gt;r&lt;m:st&lt;y m:vFal=&quot;ps&quot;/&gt;&lt;/am:rPri&gt;&lt;w:raPr&gt;&lt;wi:rFonats w:ascii=&quot;Cambria Math&quot; w:h-ansi=&quot;Cambria Math&quot; w:hint=&quot;fareast&quot;/&gt;&lt;wx:font wx:val=&quot;Cambria Math&quot;/&gt;&lt;/w:rPr&gt;&lt;m:t&gt;0.3246&lt;/m:t&gt;&lt;/m:r&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 w:ascii=&quot;Ca/mbria bMath&quot; :w:h-anrsi=&quot;CaPmbria sMath&quot; vw:hint&quot;=&quot;fare:ast&quot;/&gt;w&lt;wx:fo&lt;nt wx:nval=&quot;Caambria Math&quot;/&gt;&lt;/w:rPr&gt;&lt;m:t&gt;4&lt;/m:t&gt;&lt;/m:r&gt;&lt;/m:sub&gt;&lt;/m:sSub&gt;&lt;m:r&gt;&lt;m:rPr&gt;&lt;m:sty m:val=&quot;p&quot;/&gt;&lt;/m:rPr&gt;&lt;w:rPr&gt;&lt;w:rFonts w:ascii=&quot;Cambria Math&quot; w:h-ansi=&quot;Cambria Math&quot;/&gt;&lt;wx:font wx:val=&quot;Cambria Math&quot;/&gt;&lt;/w:rPr&gt;&lt;m:t&gt;??/m:t&gt;v&lt;/m:r&gt;&lt;&quot;m:r&gt;&lt;m::rPr&gt;&lt;m:wsty m:v&lt;al=&quot;p&quot;/n&gt;&lt;/m:rPar&gt;&lt;w:rPr&gt;&lt;w:rFonts w:ascii=&quot;Cambria Math&quot; w:h-ansi=&quot;Cambria Math&quot; w:hint=&quot;fareast&quot;/&gt;&lt;wx:font wx:val=&quot;Cambria Math&quot;/&gt;&lt;/w:rPr&gt;&lt;m:t&gt;0.3784&lt;/m:t&gt;&lt;/m:r&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C/m:rPr&gt; &lt;w:rPr&gt;&gt;&lt;w:rFonrts w:astcii=&quot;Ca/mbria Marth&quot; w:h-mansi=&quot;CaPmbria Mayth&quot; w:hi&quot;nt=&quot;fare:ast&quot;/&gt;&lt;wrx:font wx:val=&quot;Cambria Math&quot;/&gt;&lt;/w:rPr&gt;&lt;m:t&gt;5&lt;/m:t&gt;&lt;/m:r&gt;&lt;/m:sub&gt;&lt;/m:sSub&gt;&lt;m:r&gt;&lt;m:rPr&gt;&lt;m:sty m:val=&quot;p&quot;/&gt;&lt;/m:rPr&gt;&lt;w:rPr&gt;&lt;w:rFonts w:ascii=&quot;Cambria Math&quot; w:h-ansi=&quot;Cambria Math&quot;/&gt;&lt;wx:font wx:val=&quot;Cambria Math&quot;/&gt;&lt;/w:rPr&gt;&lt;m:t&gt;脳&lt;/m:ty&gt;&lt;/m:r&gt;&lt;m&quot;:r&gt;&lt;m:rPr:&gt;&lt;m:sty mr:val=&quot;p&quot;/&gt;&lt;/m:rPr&gt;&lt;w:rPr&gt;&lt;w:rFonts w:ascii=&quot;Cambria Math&quot; w:h-ansi=&quot;Cambria Math&quot; w:hint=&quot;fareast&quot;/&gt;&lt;wx:font wx:val=&quot;Cambria Math&quot;/&gt;&lt;/w:rPr&gt;&lt;m:t&gt;0.1w497&lt;/m:t=&gt;&lt;/m:r&gt;&lt;a/m:oMath&gt;&gt;&lt;/m:oMatthPara&gt;&lt;=/w:p&gt;&lt;w:s 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instrText xml:space="preserve"> </w:instrText>
      </w:r>
      <w:r>
        <w:fldChar w:fldCharType="separate"/>
      </w:r>
      <w:r>
        <w:fldChar w:fldCharType="end"/>
      </w:r>
      <w:r>
        <w:tab/>
      </w:r>
      <w:r>
        <w:t>(</w:t>
      </w:r>
      <w:r>
        <w:fldChar w:fldCharType="begin"/>
      </w:r>
      <w:r>
        <w:instrText xml:space="preserve"> SEQ 标准自动公式 \* ARABIC </w:instrText>
      </w:r>
      <w:r>
        <w:fldChar w:fldCharType="separate"/>
      </w:r>
      <w:r>
        <w:t>1</w:t>
      </w:r>
      <w:r>
        <w:fldChar w:fldCharType="end"/>
      </w:r>
      <w:r>
        <w:t>)</w:t>
      </w:r>
    </w:p>
    <w:bookmarkEnd w:id="22"/>
    <w:p>
      <w:pPr>
        <w:pStyle w:val="21"/>
      </w:pPr>
      <w:r>
        <w:rPr>
          <w:rFonts w:hint="eastAsia"/>
        </w:rPr>
        <w:t>式中：</w:t>
      </w:r>
    </w:p>
    <w:p>
      <w:pPr>
        <w:pStyle w:val="21"/>
      </w:pPr>
      <w:r>
        <w:rPr>
          <w:rFonts w:hint="eastAsia"/>
          <w:i/>
        </w:rPr>
        <w:t>ω</w:t>
      </w:r>
      <w:r>
        <w:rPr>
          <w:rFonts w:hint="eastAsia"/>
        </w:rPr>
        <w:t>——试样中水分含量的质量分数，单位为克每百克（g/100g）；</w:t>
      </w:r>
    </w:p>
    <w:p>
      <w:pPr>
        <w:pStyle w:val="21"/>
      </w:pPr>
      <w:r>
        <w:rPr>
          <w:rFonts w:hint="eastAsia"/>
          <w:i/>
        </w:rPr>
        <w:t>ω</w:t>
      </w:r>
      <w:r>
        <w:rPr>
          <w:rFonts w:hint="eastAsia"/>
          <w:vertAlign w:val="subscript"/>
        </w:rPr>
        <w:t>1</w:t>
      </w:r>
      <w:r>
        <w:rPr>
          <w:rFonts w:hint="eastAsia"/>
        </w:rPr>
        <w:t>——试样经140℃的干燥失重，单位为克每百克（g/100g）；</w:t>
      </w:r>
    </w:p>
    <w:p>
      <w:pPr>
        <w:pStyle w:val="21"/>
      </w:pPr>
      <w:r>
        <w:rPr>
          <w:rFonts w:hint="eastAsia"/>
          <w:i/>
        </w:rPr>
        <w:t>ω</w:t>
      </w:r>
      <w:r>
        <w:rPr>
          <w:rFonts w:hint="eastAsia"/>
          <w:vertAlign w:val="subscript"/>
        </w:rPr>
        <w:t>2</w:t>
      </w:r>
      <w:r>
        <w:rPr>
          <w:rFonts w:hint="eastAsia"/>
        </w:rPr>
        <w:t>——试样中硫酸钙的质量分数，单位为克每百克（g/100g）；</w:t>
      </w:r>
    </w:p>
    <w:p>
      <w:pPr>
        <w:pStyle w:val="21"/>
      </w:pPr>
      <w:r>
        <w:rPr>
          <w:rFonts w:hint="eastAsia"/>
          <w:i/>
        </w:rPr>
        <w:t>ω</w:t>
      </w:r>
      <w:r>
        <w:rPr>
          <w:rFonts w:hint="eastAsia"/>
          <w:vertAlign w:val="subscript"/>
        </w:rPr>
        <w:t>3</w:t>
      </w:r>
      <w:r>
        <w:rPr>
          <w:rFonts w:hint="eastAsia"/>
        </w:rPr>
        <w:t>——试样中硫酸镁的质量分数，单位为克每百克（g/100g）；</w:t>
      </w:r>
    </w:p>
    <w:p>
      <w:pPr>
        <w:pStyle w:val="21"/>
      </w:pPr>
      <w:r>
        <w:rPr>
          <w:rFonts w:hint="eastAsia"/>
          <w:i/>
        </w:rPr>
        <w:t>ω</w:t>
      </w:r>
      <w:r>
        <w:rPr>
          <w:rFonts w:hint="eastAsia"/>
          <w:vertAlign w:val="subscript"/>
        </w:rPr>
        <w:t>4</w:t>
      </w:r>
      <w:r>
        <w:rPr>
          <w:rFonts w:hint="eastAsia"/>
        </w:rPr>
        <w:t>——试样中氯化钙的质量分数，单位为克每百克（g/100g）；</w:t>
      </w:r>
    </w:p>
    <w:p>
      <w:pPr>
        <w:pStyle w:val="21"/>
      </w:pPr>
      <w:r>
        <w:rPr>
          <w:rFonts w:hint="eastAsia"/>
          <w:i/>
        </w:rPr>
        <w:t>ω</w:t>
      </w:r>
      <w:r>
        <w:rPr>
          <w:rFonts w:hint="eastAsia"/>
          <w:vertAlign w:val="subscript"/>
        </w:rPr>
        <w:t>5</w:t>
      </w:r>
      <w:r>
        <w:rPr>
          <w:rFonts w:hint="eastAsia"/>
        </w:rPr>
        <w:t>——试样中氯化镁的质量分数，单位为克每百克（g/100g）。</w:t>
      </w:r>
    </w:p>
    <w:p>
      <w:pPr>
        <w:pStyle w:val="38"/>
        <w:ind w:left="426" w:hanging="420"/>
      </w:pPr>
      <w:bookmarkStart w:id="24" w:name="_Hlk184132775"/>
      <w:r>
        <w:rPr>
          <w:rFonts w:hint="eastAsia"/>
        </w:rPr>
        <w:t>铅</w:t>
      </w:r>
    </w:p>
    <w:p>
      <w:pPr>
        <w:pStyle w:val="134"/>
        <w:ind w:firstLine="420"/>
      </w:pPr>
      <w:r>
        <w:rPr>
          <w:rFonts w:hint="eastAsia"/>
        </w:rPr>
        <w:t>按GB</w:t>
      </w:r>
      <w:r>
        <w:t xml:space="preserve"> 5009.1</w:t>
      </w:r>
      <w:r>
        <w:rPr>
          <w:rFonts w:hint="eastAsia"/>
        </w:rPr>
        <w:t>2或</w:t>
      </w:r>
      <w:r>
        <w:t>GB</w:t>
      </w:r>
      <w:r>
        <w:rPr>
          <w:rFonts w:hint="eastAsia"/>
        </w:rPr>
        <w:t>/T 13025.9规定执行，前者为仲裁法。</w:t>
      </w:r>
    </w:p>
    <w:p>
      <w:pPr>
        <w:pStyle w:val="38"/>
        <w:ind w:left="426" w:hanging="420"/>
      </w:pPr>
      <w:r>
        <w:rPr>
          <w:rFonts w:hint="eastAsia"/>
        </w:rPr>
        <w:t>总汞</w:t>
      </w:r>
    </w:p>
    <w:p>
      <w:pPr>
        <w:pStyle w:val="21"/>
      </w:pPr>
      <w:r>
        <w:rPr>
          <w:rFonts w:hint="eastAsia"/>
        </w:rPr>
        <w:t>按GB</w:t>
      </w:r>
      <w:r>
        <w:t xml:space="preserve"> 5009.17</w:t>
      </w:r>
      <w:r>
        <w:rPr>
          <w:rFonts w:hint="eastAsia"/>
        </w:rPr>
        <w:t>规定执行。</w:t>
      </w:r>
    </w:p>
    <w:p>
      <w:pPr>
        <w:pStyle w:val="38"/>
        <w:ind w:left="426" w:hanging="420"/>
      </w:pPr>
      <w:r>
        <w:rPr>
          <w:rFonts w:hint="eastAsia"/>
        </w:rPr>
        <w:t>镉</w:t>
      </w:r>
    </w:p>
    <w:p>
      <w:pPr>
        <w:pStyle w:val="21"/>
      </w:pPr>
      <w:r>
        <w:rPr>
          <w:rFonts w:hint="eastAsia"/>
        </w:rPr>
        <w:t>按GB</w:t>
      </w:r>
      <w:r>
        <w:t xml:space="preserve"> 5009.15</w:t>
      </w:r>
      <w:r>
        <w:rPr>
          <w:rFonts w:hint="eastAsia"/>
        </w:rPr>
        <w:t>规定执行。</w:t>
      </w:r>
    </w:p>
    <w:p>
      <w:pPr>
        <w:pStyle w:val="38"/>
        <w:ind w:left="426" w:hanging="420"/>
      </w:pPr>
      <w:r>
        <w:rPr>
          <w:rFonts w:hint="eastAsia"/>
        </w:rPr>
        <w:t>总砷</w:t>
      </w:r>
    </w:p>
    <w:p>
      <w:pPr>
        <w:pStyle w:val="21"/>
      </w:pPr>
      <w:r>
        <w:rPr>
          <w:rFonts w:hint="eastAsia"/>
        </w:rPr>
        <w:t>按GB</w:t>
      </w:r>
      <w:r>
        <w:t xml:space="preserve"> 5009.11</w:t>
      </w:r>
      <w:r>
        <w:rPr>
          <w:rFonts w:hint="eastAsia"/>
        </w:rPr>
        <w:t>或</w:t>
      </w:r>
      <w:r>
        <w:t>GB</w:t>
      </w:r>
      <w:r>
        <w:rPr>
          <w:rFonts w:hint="eastAsia"/>
        </w:rPr>
        <w:t>/T 13025.13规定执行，前者为仲裁法。</w:t>
      </w:r>
    </w:p>
    <w:bookmarkEnd w:id="24"/>
    <w:p>
      <w:pPr>
        <w:pStyle w:val="38"/>
      </w:pPr>
      <w:r>
        <w:rPr>
          <w:rFonts w:hint="eastAsia"/>
        </w:rPr>
        <w:t>pH值</w:t>
      </w:r>
    </w:p>
    <w:p>
      <w:pPr>
        <w:pStyle w:val="134"/>
        <w:ind w:firstLine="420"/>
      </w:pPr>
      <w:r>
        <w:rPr>
          <w:rFonts w:hint="eastAsia"/>
        </w:rPr>
        <w:t>称取1.00g试样，置于200mL烧杯中，加入100mL无二氧化碳的水，搅拌使其全部溶解后，按GB/T 13531.1规定执行。</w:t>
      </w:r>
    </w:p>
    <w:p>
      <w:pPr>
        <w:pStyle w:val="41"/>
        <w:spacing w:line="360" w:lineRule="auto"/>
      </w:pPr>
      <w:r>
        <w:rPr>
          <w:rFonts w:hint="eastAsia"/>
        </w:rPr>
        <w:t>检验规则</w:t>
      </w:r>
    </w:p>
    <w:p>
      <w:pPr>
        <w:pStyle w:val="38"/>
      </w:pPr>
      <w:r>
        <w:rPr>
          <w:rFonts w:hint="eastAsia"/>
        </w:rPr>
        <w:t>组批</w:t>
      </w:r>
    </w:p>
    <w:p>
      <w:pPr>
        <w:pStyle w:val="21"/>
      </w:pPr>
      <w:r>
        <w:rPr>
          <w:rFonts w:hint="eastAsia"/>
        </w:rPr>
        <w:t>生产企业用相同材料、</w:t>
      </w:r>
      <w:r>
        <w:t>相同的加工方法</w:t>
      </w:r>
      <w:r>
        <w:rPr>
          <w:rFonts w:hint="eastAsia"/>
        </w:rPr>
        <w:t>，在相同的生产条件下连续</w:t>
      </w:r>
      <w:r>
        <w:t>生产的同一等级</w:t>
      </w:r>
      <w:r>
        <w:rPr>
          <w:rFonts w:hint="eastAsia"/>
        </w:rPr>
        <w:t>、</w:t>
      </w:r>
      <w:r>
        <w:t>一次交付或入库的产品构成为一批。</w:t>
      </w:r>
      <w:r>
        <w:rPr>
          <w:rFonts w:hint="eastAsia"/>
        </w:rPr>
        <w:t>每批产品不超过200吨。</w:t>
      </w:r>
    </w:p>
    <w:p>
      <w:pPr>
        <w:pStyle w:val="38"/>
      </w:pPr>
      <w:r>
        <w:rPr>
          <w:rFonts w:hint="eastAsia"/>
        </w:rPr>
        <w:t>采样</w:t>
      </w:r>
    </w:p>
    <w:p>
      <w:pPr>
        <w:pStyle w:val="21"/>
      </w:pPr>
      <w:r>
        <w:rPr>
          <w:rFonts w:hint="eastAsia"/>
        </w:rPr>
        <w:t>按GB/T 8618规定的份样数抽取，混匀，用四分法缩分至所需量。</w:t>
      </w:r>
    </w:p>
    <w:p>
      <w:pPr>
        <w:pStyle w:val="38"/>
      </w:pPr>
      <w:r>
        <w:rPr>
          <w:rFonts w:hint="eastAsia"/>
        </w:rPr>
        <w:t>出厂检验</w:t>
      </w:r>
    </w:p>
    <w:p>
      <w:pPr>
        <w:pStyle w:val="21"/>
      </w:pPr>
      <w:r>
        <w:rPr>
          <w:rFonts w:hint="eastAsia"/>
        </w:rPr>
        <w:t>每批产品应由生产企业质检部门检验，检验项目包括感官要求、氯化钠、水分、pH值。检验项目全部合格并附合格证明后方可出厂。</w:t>
      </w:r>
    </w:p>
    <w:p>
      <w:pPr>
        <w:pStyle w:val="38"/>
      </w:pPr>
      <w:r>
        <w:rPr>
          <w:rFonts w:hint="eastAsia"/>
        </w:rPr>
        <w:t>型式检验</w:t>
      </w:r>
    </w:p>
    <w:p>
      <w:pPr>
        <w:pStyle w:val="134"/>
        <w:ind w:firstLine="420"/>
      </w:pPr>
      <w:r>
        <w:rPr>
          <w:rFonts w:hint="eastAsia"/>
        </w:rPr>
        <w:t>产品型式检验包括本文本5.2和5.3规定的全部项目。正常生产时，每一年应不少于一次，有下列情形之一时也应进行型式检验。</w:t>
      </w:r>
    </w:p>
    <w:p>
      <w:pPr>
        <w:pStyle w:val="21"/>
      </w:pPr>
      <w:r>
        <w:rPr>
          <w:rFonts w:hint="eastAsia"/>
        </w:rPr>
        <w:t>——原料、生产工艺、生产设备、生产环境发生较大变化可能影响产品质量时；</w:t>
      </w:r>
    </w:p>
    <w:p>
      <w:pPr>
        <w:pStyle w:val="21"/>
      </w:pPr>
      <w:r>
        <w:rPr>
          <w:rFonts w:hint="eastAsia"/>
        </w:rPr>
        <w:t>——</w:t>
      </w:r>
      <w:r>
        <w:rPr>
          <w:rFonts w:hint="eastAsia" w:hAnsi="宋体"/>
        </w:rPr>
        <w:t>产品首次投产或</w:t>
      </w:r>
      <w:r>
        <w:rPr>
          <w:rFonts w:hint="eastAsia"/>
        </w:rPr>
        <w:t>停产半年及以上，再恢复生产时；</w:t>
      </w:r>
    </w:p>
    <w:p>
      <w:pPr>
        <w:pStyle w:val="21"/>
      </w:pPr>
      <w:r>
        <w:rPr>
          <w:rFonts w:hint="eastAsia"/>
        </w:rPr>
        <w:t>——出厂检验结果与上次型式检验有较大差异时；</w:t>
      </w:r>
    </w:p>
    <w:p>
      <w:pPr>
        <w:pStyle w:val="21"/>
      </w:pPr>
      <w:r>
        <w:rPr>
          <w:rFonts w:hint="eastAsia"/>
        </w:rPr>
        <w:t>—</w:t>
      </w:r>
      <w:r>
        <w:rPr>
          <w:rFonts w:hint="eastAsia"/>
          <w:color w:val="000000"/>
        </w:rPr>
        <w:t>—国家市场监督管理部门提出要求时。</w:t>
      </w:r>
    </w:p>
    <w:p>
      <w:pPr>
        <w:pStyle w:val="38"/>
      </w:pPr>
      <w:r>
        <w:rPr>
          <w:rFonts w:hint="eastAsia"/>
        </w:rPr>
        <w:t>判定规则</w:t>
      </w:r>
    </w:p>
    <w:p>
      <w:pPr>
        <w:pStyle w:val="134"/>
        <w:ind w:firstLine="420"/>
      </w:pPr>
      <w:r>
        <w:rPr>
          <w:rFonts w:hint="eastAsia"/>
        </w:rPr>
        <w:t>检验项目中</w:t>
      </w:r>
      <w:r>
        <w:t>如有一项或一项以上指标不符合本标准规定，应</w:t>
      </w:r>
      <w:r>
        <w:rPr>
          <w:rFonts w:hint="eastAsia"/>
        </w:rPr>
        <w:t>使用备用样</w:t>
      </w:r>
      <w:r>
        <w:t>对不符合项进行复检，以复检结果为准。检验结果全部符合本标准的规定时则判该批产品合格，</w:t>
      </w:r>
      <w:r>
        <w:rPr>
          <w:rFonts w:hint="eastAsia"/>
        </w:rPr>
        <w:t>否则为不合格。</w:t>
      </w:r>
    </w:p>
    <w:p>
      <w:pPr>
        <w:pStyle w:val="134"/>
        <w:ind w:firstLine="420"/>
      </w:pPr>
      <w:r>
        <w:t>供需双方对产品质量发生争议时应协商解决；或者由法定质量监督管理机构进行仲裁。</w:t>
      </w:r>
    </w:p>
    <w:p>
      <w:pPr>
        <w:pStyle w:val="41"/>
      </w:pPr>
      <w:r>
        <w:rPr>
          <w:rFonts w:hint="eastAsia"/>
        </w:rPr>
        <w:t>标签、标志</w:t>
      </w:r>
    </w:p>
    <w:p>
      <w:pPr>
        <w:pStyle w:val="134"/>
        <w:ind w:firstLine="420"/>
      </w:pPr>
      <w:r>
        <w:rPr>
          <w:rFonts w:hint="eastAsia"/>
        </w:rPr>
        <w:t>外包装上应按GB/T 191规定标注“怕雨”标志，产品容器上标签明显并且印制或粘贴牢固，标明：生产厂家名称和地址、商标、产品名称、产品批号、本标准号、生产日期、净含量等。</w:t>
      </w:r>
    </w:p>
    <w:p>
      <w:pPr>
        <w:pStyle w:val="41"/>
      </w:pPr>
      <w:r>
        <w:rPr>
          <w:rFonts w:hint="eastAsia"/>
        </w:rPr>
        <w:t>包装、运输、贮存</w:t>
      </w:r>
    </w:p>
    <w:p>
      <w:pPr>
        <w:pStyle w:val="38"/>
      </w:pPr>
      <w:r>
        <w:rPr>
          <w:rFonts w:hint="eastAsia"/>
        </w:rPr>
        <w:t>包装</w:t>
      </w:r>
    </w:p>
    <w:p>
      <w:pPr>
        <w:pStyle w:val="134"/>
        <w:ind w:firstLine="420"/>
      </w:pPr>
      <w:r>
        <w:rPr>
          <w:rFonts w:hint="eastAsia"/>
        </w:rPr>
        <w:t>产品包装宜采用双层包装，内包装采用聚乙烯塑料薄膜袋，外包装采用纸塑、塑塑复合袋或者镀膜编织袋。包装内袋用一次性捆扎带扎口，外袋采用缝包机缝合，缝包牢固，无漏缝或跳线现象。包装物无气味。也可根据用户要求商定包装形式。</w:t>
      </w:r>
    </w:p>
    <w:p>
      <w:pPr>
        <w:pStyle w:val="38"/>
      </w:pPr>
      <w:r>
        <w:rPr>
          <w:rFonts w:hint="eastAsia"/>
        </w:rPr>
        <w:t>运输</w:t>
      </w:r>
    </w:p>
    <w:p>
      <w:pPr>
        <w:pStyle w:val="134"/>
        <w:ind w:firstLine="420"/>
      </w:pPr>
      <w:r>
        <w:rPr>
          <w:rFonts w:hint="eastAsia"/>
        </w:rPr>
        <w:t>本产品属于非危险品。运输工具应清洁、干燥，并有防污染措施，运输途中防暴晒、防雨淋、防受潮，不应与有毒有害物品或者能导致盐质污染的货物混装。</w:t>
      </w:r>
    </w:p>
    <w:p>
      <w:pPr>
        <w:pStyle w:val="38"/>
      </w:pPr>
      <w:r>
        <w:rPr>
          <w:rFonts w:hint="eastAsia"/>
        </w:rPr>
        <w:t xml:space="preserve">贮存 </w:t>
      </w:r>
    </w:p>
    <w:p>
      <w:pPr>
        <w:pStyle w:val="134"/>
        <w:ind w:firstLine="420"/>
      </w:pPr>
      <w:r>
        <w:t>产品应</w:t>
      </w:r>
      <w:r>
        <w:rPr>
          <w:rFonts w:hint="eastAsia"/>
        </w:rPr>
        <w:t>存放在清洁、</w:t>
      </w:r>
      <w:r>
        <w:t>干燥</w:t>
      </w:r>
      <w:r>
        <w:rPr>
          <w:rFonts w:hint="eastAsia"/>
        </w:rPr>
        <w:t>、</w:t>
      </w:r>
      <w:r>
        <w:t>通风</w:t>
      </w:r>
      <w:r>
        <w:rPr>
          <w:rFonts w:hint="eastAsia"/>
        </w:rPr>
        <w:t>的仓库内</w:t>
      </w:r>
      <w:r>
        <w:t>，</w:t>
      </w:r>
      <w:r>
        <w:rPr>
          <w:rFonts w:hint="eastAsia"/>
        </w:rPr>
        <w:t>防止雨淋、受潮，不应与能导致产品污染的物品混存。产品存放应隔墙离地。</w:t>
      </w:r>
    </w:p>
    <w:p>
      <w:pPr>
        <w:pStyle w:val="125"/>
        <w:framePr w:wrap="around"/>
      </w:pPr>
      <w:r>
        <w:t>_________________________________</w:t>
      </w:r>
    </w:p>
    <w:sectPr>
      <w:headerReference r:id="rId3" w:type="default"/>
      <w:footerReference r:id="rId4" w:type="default"/>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QB/T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05214"/>
    <w:multiLevelType w:val="multilevel"/>
    <w:tmpl w:val="02F05214"/>
    <w:lvl w:ilvl="0" w:tentative="0">
      <w:start w:val="1"/>
      <w:numFmt w:val="upperLetter"/>
      <w:suff w:val="nothing"/>
      <w:lvlText w:val="附　录　%1"/>
      <w:lvlJc w:val="left"/>
      <w:pPr>
        <w:ind w:left="0" w:firstLine="0"/>
      </w:pPr>
      <w:rPr>
        <w:rFonts w:hint="eastAsia" w:ascii="黑体" w:eastAsia="黑体"/>
        <w:b w:val="0"/>
        <w:i w:val="0"/>
        <w:sz w:val="21"/>
      </w:rPr>
    </w:lvl>
    <w:lvl w:ilvl="1" w:tentative="0">
      <w:start w:val="1"/>
      <w:numFmt w:val="decimal"/>
      <w:pStyle w:val="139"/>
      <w:suff w:val="nothing"/>
      <w:lvlText w:val="%1.%2  "/>
      <w:lvlJc w:val="left"/>
      <w:pPr>
        <w:ind w:left="198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1">
    <w:nsid w:val="079102AD"/>
    <w:multiLevelType w:val="multilevel"/>
    <w:tmpl w:val="079102AD"/>
    <w:lvl w:ilvl="0" w:tentative="0">
      <w:start w:val="1"/>
      <w:numFmt w:val="decimal"/>
      <w:pStyle w:val="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1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2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06BF"/>
    <w:rsid w:val="0000185F"/>
    <w:rsid w:val="0000586F"/>
    <w:rsid w:val="00006A69"/>
    <w:rsid w:val="000076A3"/>
    <w:rsid w:val="00013D86"/>
    <w:rsid w:val="00013E02"/>
    <w:rsid w:val="0002143C"/>
    <w:rsid w:val="00025A65"/>
    <w:rsid w:val="00026C31"/>
    <w:rsid w:val="00027280"/>
    <w:rsid w:val="000320A7"/>
    <w:rsid w:val="00035925"/>
    <w:rsid w:val="00067CDF"/>
    <w:rsid w:val="00074FBE"/>
    <w:rsid w:val="00083A09"/>
    <w:rsid w:val="0009005E"/>
    <w:rsid w:val="00092857"/>
    <w:rsid w:val="000A20A9"/>
    <w:rsid w:val="000A48B1"/>
    <w:rsid w:val="000B2A4B"/>
    <w:rsid w:val="000B3143"/>
    <w:rsid w:val="000C6B05"/>
    <w:rsid w:val="000C6DD6"/>
    <w:rsid w:val="000C73D4"/>
    <w:rsid w:val="000D3D4C"/>
    <w:rsid w:val="000D4F51"/>
    <w:rsid w:val="000D718B"/>
    <w:rsid w:val="000E0C46"/>
    <w:rsid w:val="000F030C"/>
    <w:rsid w:val="000F129C"/>
    <w:rsid w:val="001047BB"/>
    <w:rsid w:val="001056DE"/>
    <w:rsid w:val="001124C0"/>
    <w:rsid w:val="00120877"/>
    <w:rsid w:val="00124FA2"/>
    <w:rsid w:val="0013175F"/>
    <w:rsid w:val="001512B4"/>
    <w:rsid w:val="001620A5"/>
    <w:rsid w:val="00164E53"/>
    <w:rsid w:val="0016699D"/>
    <w:rsid w:val="00175159"/>
    <w:rsid w:val="00176208"/>
    <w:rsid w:val="00176C80"/>
    <w:rsid w:val="00177664"/>
    <w:rsid w:val="00181891"/>
    <w:rsid w:val="0018211B"/>
    <w:rsid w:val="001840D3"/>
    <w:rsid w:val="001900F8"/>
    <w:rsid w:val="00191258"/>
    <w:rsid w:val="00192680"/>
    <w:rsid w:val="00192B68"/>
    <w:rsid w:val="00193037"/>
    <w:rsid w:val="00193A2C"/>
    <w:rsid w:val="001A288E"/>
    <w:rsid w:val="001B3313"/>
    <w:rsid w:val="001B6DC2"/>
    <w:rsid w:val="001C149C"/>
    <w:rsid w:val="001C21AC"/>
    <w:rsid w:val="001C47BA"/>
    <w:rsid w:val="001C59EA"/>
    <w:rsid w:val="001D406C"/>
    <w:rsid w:val="001D41EE"/>
    <w:rsid w:val="001E0380"/>
    <w:rsid w:val="001E13B1"/>
    <w:rsid w:val="001E5C3E"/>
    <w:rsid w:val="001E681D"/>
    <w:rsid w:val="001F24BE"/>
    <w:rsid w:val="001F3A19"/>
    <w:rsid w:val="00234467"/>
    <w:rsid w:val="00237D8D"/>
    <w:rsid w:val="00241DA2"/>
    <w:rsid w:val="00244435"/>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11A6"/>
    <w:rsid w:val="002E1FB1"/>
    <w:rsid w:val="002E2906"/>
    <w:rsid w:val="002E5635"/>
    <w:rsid w:val="002E64C3"/>
    <w:rsid w:val="002E6A2C"/>
    <w:rsid w:val="002F1D8C"/>
    <w:rsid w:val="002F21DA"/>
    <w:rsid w:val="002F74B2"/>
    <w:rsid w:val="00301F39"/>
    <w:rsid w:val="00305F1A"/>
    <w:rsid w:val="00325926"/>
    <w:rsid w:val="003270CF"/>
    <w:rsid w:val="00327A8A"/>
    <w:rsid w:val="00333436"/>
    <w:rsid w:val="00336610"/>
    <w:rsid w:val="00343F73"/>
    <w:rsid w:val="00345060"/>
    <w:rsid w:val="0035323B"/>
    <w:rsid w:val="003609D2"/>
    <w:rsid w:val="00363F22"/>
    <w:rsid w:val="00375564"/>
    <w:rsid w:val="0037765C"/>
    <w:rsid w:val="00383191"/>
    <w:rsid w:val="00386DED"/>
    <w:rsid w:val="003912E7"/>
    <w:rsid w:val="00393947"/>
    <w:rsid w:val="003969B3"/>
    <w:rsid w:val="003A2275"/>
    <w:rsid w:val="003A6A4F"/>
    <w:rsid w:val="003A7088"/>
    <w:rsid w:val="003B00DF"/>
    <w:rsid w:val="003B02A7"/>
    <w:rsid w:val="003B1275"/>
    <w:rsid w:val="003B1778"/>
    <w:rsid w:val="003C11CB"/>
    <w:rsid w:val="003C18B7"/>
    <w:rsid w:val="003C75F3"/>
    <w:rsid w:val="003C78A3"/>
    <w:rsid w:val="003E1867"/>
    <w:rsid w:val="003E5729"/>
    <w:rsid w:val="003F4EE0"/>
    <w:rsid w:val="00402153"/>
    <w:rsid w:val="00402FC1"/>
    <w:rsid w:val="0041783D"/>
    <w:rsid w:val="00425082"/>
    <w:rsid w:val="00431DEB"/>
    <w:rsid w:val="00446B29"/>
    <w:rsid w:val="00453F9A"/>
    <w:rsid w:val="0046658A"/>
    <w:rsid w:val="00471E91"/>
    <w:rsid w:val="00474675"/>
    <w:rsid w:val="0047470C"/>
    <w:rsid w:val="00475381"/>
    <w:rsid w:val="00497D2C"/>
    <w:rsid w:val="004A0C55"/>
    <w:rsid w:val="004A35F9"/>
    <w:rsid w:val="004B24C1"/>
    <w:rsid w:val="004B36E8"/>
    <w:rsid w:val="004C292F"/>
    <w:rsid w:val="004F0284"/>
    <w:rsid w:val="004F208F"/>
    <w:rsid w:val="00510280"/>
    <w:rsid w:val="00513D73"/>
    <w:rsid w:val="00514A43"/>
    <w:rsid w:val="005174E5"/>
    <w:rsid w:val="00521CE8"/>
    <w:rsid w:val="00522393"/>
    <w:rsid w:val="00522620"/>
    <w:rsid w:val="00525656"/>
    <w:rsid w:val="00531D0E"/>
    <w:rsid w:val="00534C02"/>
    <w:rsid w:val="005359E7"/>
    <w:rsid w:val="0054264B"/>
    <w:rsid w:val="00543786"/>
    <w:rsid w:val="005533D7"/>
    <w:rsid w:val="005668E9"/>
    <w:rsid w:val="005703DE"/>
    <w:rsid w:val="0058464E"/>
    <w:rsid w:val="005854F3"/>
    <w:rsid w:val="005A01CB"/>
    <w:rsid w:val="005A58FF"/>
    <w:rsid w:val="005A5EAF"/>
    <w:rsid w:val="005A64C0"/>
    <w:rsid w:val="005B3C11"/>
    <w:rsid w:val="005C1618"/>
    <w:rsid w:val="005C1C28"/>
    <w:rsid w:val="005C6DB5"/>
    <w:rsid w:val="005E19E7"/>
    <w:rsid w:val="005E5418"/>
    <w:rsid w:val="005F7FBD"/>
    <w:rsid w:val="00611AAD"/>
    <w:rsid w:val="0061716C"/>
    <w:rsid w:val="006243A1"/>
    <w:rsid w:val="00632E56"/>
    <w:rsid w:val="00633402"/>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174C"/>
    <w:rsid w:val="006B4E13"/>
    <w:rsid w:val="006B75DD"/>
    <w:rsid w:val="006C182D"/>
    <w:rsid w:val="006C67E0"/>
    <w:rsid w:val="006C7ABA"/>
    <w:rsid w:val="006D0D60"/>
    <w:rsid w:val="006D1122"/>
    <w:rsid w:val="006D17EE"/>
    <w:rsid w:val="006D3C00"/>
    <w:rsid w:val="006D7337"/>
    <w:rsid w:val="006E1F8B"/>
    <w:rsid w:val="006E3675"/>
    <w:rsid w:val="006E4A7F"/>
    <w:rsid w:val="00704DF6"/>
    <w:rsid w:val="00705C97"/>
    <w:rsid w:val="00705D4E"/>
    <w:rsid w:val="0070651C"/>
    <w:rsid w:val="007132A3"/>
    <w:rsid w:val="00716421"/>
    <w:rsid w:val="00724EFB"/>
    <w:rsid w:val="007419C3"/>
    <w:rsid w:val="00745A6D"/>
    <w:rsid w:val="007467A7"/>
    <w:rsid w:val="007469DD"/>
    <w:rsid w:val="0074741B"/>
    <w:rsid w:val="0074759E"/>
    <w:rsid w:val="007478EA"/>
    <w:rsid w:val="0075415C"/>
    <w:rsid w:val="00755C88"/>
    <w:rsid w:val="007575DC"/>
    <w:rsid w:val="00763502"/>
    <w:rsid w:val="00767D6D"/>
    <w:rsid w:val="007913AB"/>
    <w:rsid w:val="007914F7"/>
    <w:rsid w:val="007952E8"/>
    <w:rsid w:val="007B1625"/>
    <w:rsid w:val="007B706E"/>
    <w:rsid w:val="007B71EB"/>
    <w:rsid w:val="007C6205"/>
    <w:rsid w:val="007C686A"/>
    <w:rsid w:val="007C728E"/>
    <w:rsid w:val="007D2C53"/>
    <w:rsid w:val="007D3D60"/>
    <w:rsid w:val="007D79D4"/>
    <w:rsid w:val="007E1980"/>
    <w:rsid w:val="007E4B76"/>
    <w:rsid w:val="007E5EA8"/>
    <w:rsid w:val="007F02A1"/>
    <w:rsid w:val="007F0CF1"/>
    <w:rsid w:val="007F12A5"/>
    <w:rsid w:val="007F4CF1"/>
    <w:rsid w:val="007F6B79"/>
    <w:rsid w:val="007F758D"/>
    <w:rsid w:val="007F7D52"/>
    <w:rsid w:val="0080654C"/>
    <w:rsid w:val="008071C6"/>
    <w:rsid w:val="00817A00"/>
    <w:rsid w:val="00823AD8"/>
    <w:rsid w:val="00835DB3"/>
    <w:rsid w:val="0083617B"/>
    <w:rsid w:val="008371BD"/>
    <w:rsid w:val="008472C4"/>
    <w:rsid w:val="008504A8"/>
    <w:rsid w:val="0085282E"/>
    <w:rsid w:val="00855406"/>
    <w:rsid w:val="00855414"/>
    <w:rsid w:val="00862E31"/>
    <w:rsid w:val="00863408"/>
    <w:rsid w:val="0087198C"/>
    <w:rsid w:val="00872C1F"/>
    <w:rsid w:val="00873B42"/>
    <w:rsid w:val="00876B1A"/>
    <w:rsid w:val="008856D8"/>
    <w:rsid w:val="00892E82"/>
    <w:rsid w:val="008C1B58"/>
    <w:rsid w:val="008C39AE"/>
    <w:rsid w:val="008C3F88"/>
    <w:rsid w:val="008C590D"/>
    <w:rsid w:val="008D4EA1"/>
    <w:rsid w:val="008E031B"/>
    <w:rsid w:val="008E7029"/>
    <w:rsid w:val="008E7EF6"/>
    <w:rsid w:val="008F1F98"/>
    <w:rsid w:val="008F6758"/>
    <w:rsid w:val="009040DD"/>
    <w:rsid w:val="00905B47"/>
    <w:rsid w:val="0091331C"/>
    <w:rsid w:val="009279DE"/>
    <w:rsid w:val="00930116"/>
    <w:rsid w:val="0093104D"/>
    <w:rsid w:val="0094212C"/>
    <w:rsid w:val="00944FBE"/>
    <w:rsid w:val="009454E4"/>
    <w:rsid w:val="00947BEC"/>
    <w:rsid w:val="00954689"/>
    <w:rsid w:val="009617C9"/>
    <w:rsid w:val="00961C93"/>
    <w:rsid w:val="00962720"/>
    <w:rsid w:val="00965324"/>
    <w:rsid w:val="0097091E"/>
    <w:rsid w:val="009760D3"/>
    <w:rsid w:val="00977132"/>
    <w:rsid w:val="00981A4B"/>
    <w:rsid w:val="00982501"/>
    <w:rsid w:val="009877D3"/>
    <w:rsid w:val="00994324"/>
    <w:rsid w:val="00994E8F"/>
    <w:rsid w:val="009951DC"/>
    <w:rsid w:val="009959BB"/>
    <w:rsid w:val="00997158"/>
    <w:rsid w:val="009A3A7C"/>
    <w:rsid w:val="009A4247"/>
    <w:rsid w:val="009B2ADB"/>
    <w:rsid w:val="009B603A"/>
    <w:rsid w:val="009C2D0E"/>
    <w:rsid w:val="009C3DAC"/>
    <w:rsid w:val="009C42E0"/>
    <w:rsid w:val="009D5362"/>
    <w:rsid w:val="009E1415"/>
    <w:rsid w:val="009E6116"/>
    <w:rsid w:val="00A02E43"/>
    <w:rsid w:val="00A065F9"/>
    <w:rsid w:val="00A07F34"/>
    <w:rsid w:val="00A16A04"/>
    <w:rsid w:val="00A22154"/>
    <w:rsid w:val="00A25C38"/>
    <w:rsid w:val="00A36BBE"/>
    <w:rsid w:val="00A4307A"/>
    <w:rsid w:val="00A43B09"/>
    <w:rsid w:val="00A47EBB"/>
    <w:rsid w:val="00A51CDD"/>
    <w:rsid w:val="00A571FA"/>
    <w:rsid w:val="00A6730D"/>
    <w:rsid w:val="00A71625"/>
    <w:rsid w:val="00A71B9B"/>
    <w:rsid w:val="00A751C7"/>
    <w:rsid w:val="00A87844"/>
    <w:rsid w:val="00AA038C"/>
    <w:rsid w:val="00AA6BC1"/>
    <w:rsid w:val="00AA7A09"/>
    <w:rsid w:val="00AB3B50"/>
    <w:rsid w:val="00AC05B1"/>
    <w:rsid w:val="00AD356C"/>
    <w:rsid w:val="00AE2914"/>
    <w:rsid w:val="00AE5395"/>
    <w:rsid w:val="00AE6D15"/>
    <w:rsid w:val="00B04182"/>
    <w:rsid w:val="00B07AE3"/>
    <w:rsid w:val="00B11430"/>
    <w:rsid w:val="00B163C5"/>
    <w:rsid w:val="00B353EB"/>
    <w:rsid w:val="00B4228B"/>
    <w:rsid w:val="00B439C4"/>
    <w:rsid w:val="00B447F4"/>
    <w:rsid w:val="00B4535E"/>
    <w:rsid w:val="00B5230C"/>
    <w:rsid w:val="00B52A8C"/>
    <w:rsid w:val="00B636A8"/>
    <w:rsid w:val="00B665C6"/>
    <w:rsid w:val="00B66EE1"/>
    <w:rsid w:val="00B805AF"/>
    <w:rsid w:val="00B869EC"/>
    <w:rsid w:val="00B9135E"/>
    <w:rsid w:val="00B9397A"/>
    <w:rsid w:val="00B9633D"/>
    <w:rsid w:val="00B97661"/>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379"/>
    <w:rsid w:val="00C314E1"/>
    <w:rsid w:val="00C34397"/>
    <w:rsid w:val="00C4095D"/>
    <w:rsid w:val="00C601D2"/>
    <w:rsid w:val="00C657AB"/>
    <w:rsid w:val="00C65BCC"/>
    <w:rsid w:val="00C66970"/>
    <w:rsid w:val="00C669F6"/>
    <w:rsid w:val="00C8691C"/>
    <w:rsid w:val="00C91216"/>
    <w:rsid w:val="00C95149"/>
    <w:rsid w:val="00CA168A"/>
    <w:rsid w:val="00CA357E"/>
    <w:rsid w:val="00CA44F9"/>
    <w:rsid w:val="00CA4A69"/>
    <w:rsid w:val="00CC3E0C"/>
    <w:rsid w:val="00CC58D3"/>
    <w:rsid w:val="00CC784D"/>
    <w:rsid w:val="00CC79B1"/>
    <w:rsid w:val="00CE39AE"/>
    <w:rsid w:val="00D0337B"/>
    <w:rsid w:val="00D079B2"/>
    <w:rsid w:val="00D114E9"/>
    <w:rsid w:val="00D4283D"/>
    <w:rsid w:val="00D429C6"/>
    <w:rsid w:val="00D47748"/>
    <w:rsid w:val="00D54CC3"/>
    <w:rsid w:val="00D6041A"/>
    <w:rsid w:val="00D633EB"/>
    <w:rsid w:val="00D7545D"/>
    <w:rsid w:val="00D82FF7"/>
    <w:rsid w:val="00D847FE"/>
    <w:rsid w:val="00D964EA"/>
    <w:rsid w:val="00D966D0"/>
    <w:rsid w:val="00D96CBE"/>
    <w:rsid w:val="00DA0C59"/>
    <w:rsid w:val="00DA3991"/>
    <w:rsid w:val="00DB79AD"/>
    <w:rsid w:val="00DB7E6C"/>
    <w:rsid w:val="00DD5931"/>
    <w:rsid w:val="00DD5A29"/>
    <w:rsid w:val="00DD5D9D"/>
    <w:rsid w:val="00DD73C1"/>
    <w:rsid w:val="00DE35CB"/>
    <w:rsid w:val="00DF21E9"/>
    <w:rsid w:val="00E00F14"/>
    <w:rsid w:val="00E06386"/>
    <w:rsid w:val="00E2373C"/>
    <w:rsid w:val="00E24EB4"/>
    <w:rsid w:val="00E320ED"/>
    <w:rsid w:val="00E33AFB"/>
    <w:rsid w:val="00E34218"/>
    <w:rsid w:val="00E46282"/>
    <w:rsid w:val="00E5216E"/>
    <w:rsid w:val="00E54A63"/>
    <w:rsid w:val="00E714CD"/>
    <w:rsid w:val="00E82344"/>
    <w:rsid w:val="00E84C82"/>
    <w:rsid w:val="00E84D64"/>
    <w:rsid w:val="00E85635"/>
    <w:rsid w:val="00E8582D"/>
    <w:rsid w:val="00E87408"/>
    <w:rsid w:val="00E914C4"/>
    <w:rsid w:val="00E934F5"/>
    <w:rsid w:val="00E96961"/>
    <w:rsid w:val="00EA72EC"/>
    <w:rsid w:val="00EB11CB"/>
    <w:rsid w:val="00EB275A"/>
    <w:rsid w:val="00EB562C"/>
    <w:rsid w:val="00EB786A"/>
    <w:rsid w:val="00EC1578"/>
    <w:rsid w:val="00EC1C72"/>
    <w:rsid w:val="00EC3CC9"/>
    <w:rsid w:val="00EC680A"/>
    <w:rsid w:val="00EE2BED"/>
    <w:rsid w:val="00EE374B"/>
    <w:rsid w:val="00F11BB5"/>
    <w:rsid w:val="00F1417B"/>
    <w:rsid w:val="00F17DEC"/>
    <w:rsid w:val="00F34B99"/>
    <w:rsid w:val="00F36233"/>
    <w:rsid w:val="00F43A0E"/>
    <w:rsid w:val="00F52DAB"/>
    <w:rsid w:val="00F543F0"/>
    <w:rsid w:val="00F62D1C"/>
    <w:rsid w:val="00F6443D"/>
    <w:rsid w:val="00F80054"/>
    <w:rsid w:val="00F81D29"/>
    <w:rsid w:val="00F91C4D"/>
    <w:rsid w:val="00F92FD9"/>
    <w:rsid w:val="00FA6684"/>
    <w:rsid w:val="00FA731E"/>
    <w:rsid w:val="00FA76A8"/>
    <w:rsid w:val="00FB2B38"/>
    <w:rsid w:val="00FB3346"/>
    <w:rsid w:val="00FC6358"/>
    <w:rsid w:val="00FD320D"/>
    <w:rsid w:val="00FD5B3A"/>
    <w:rsid w:val="00FE23DE"/>
    <w:rsid w:val="00FF3B88"/>
    <w:rsid w:val="44601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name="toc 1"/>
    <w:lsdException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36"/>
    <w:semiHidden/>
    <w:unhideWhenUsed/>
    <w:qFormat/>
    <w:uiPriority w:val="0"/>
    <w:pPr>
      <w:keepNext/>
      <w:keepLines/>
      <w:spacing w:before="260" w:after="260" w:line="416" w:lineRule="auto"/>
      <w:outlineLvl w:val="2"/>
    </w:pPr>
    <w:rPr>
      <w:b/>
      <w:bCs/>
      <w:sz w:val="32"/>
      <w:szCs w:val="32"/>
    </w:rPr>
  </w:style>
  <w:style w:type="character" w:default="1" w:styleId="31">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semiHidden/>
    <w:qFormat/>
    <w:uiPriority w:val="0"/>
    <w:pPr>
      <w:tabs>
        <w:tab w:val="right" w:leader="dot" w:pos="9241"/>
      </w:tabs>
      <w:ind w:firstLine="100"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uiPriority w:val="0"/>
    <w:pPr>
      <w:snapToGrid w:val="0"/>
      <w:jc w:val="left"/>
    </w:pPr>
  </w:style>
  <w:style w:type="paragraph" w:styleId="15">
    <w:name w:val="footer"/>
    <w:basedOn w:val="1"/>
    <w:uiPriority w:val="0"/>
    <w:pPr>
      <w:snapToGrid w:val="0"/>
      <w:ind w:right="210" w:rightChars="100"/>
      <w:jc w:val="right"/>
    </w:pPr>
    <w:rPr>
      <w:sz w:val="18"/>
      <w:szCs w:val="18"/>
    </w:rPr>
  </w:style>
  <w:style w:type="paragraph" w:styleId="16">
    <w:name w:val="header"/>
    <w:basedOn w:val="1"/>
    <w:uiPriority w:val="0"/>
    <w:pPr>
      <w:snapToGrid w:val="0"/>
      <w:jc w:val="left"/>
    </w:pPr>
    <w:rPr>
      <w:sz w:val="18"/>
      <w:szCs w:val="18"/>
    </w:rPr>
  </w:style>
  <w:style w:type="paragraph" w:styleId="17">
    <w:name w:val="toc 1"/>
    <w:basedOn w:val="1"/>
    <w:next w:val="1"/>
    <w:semiHidden/>
    <w:uiPriority w:val="0"/>
    <w:pPr>
      <w:tabs>
        <w:tab w:val="right" w:leader="dot" w:pos="9242"/>
      </w:tabs>
      <w:spacing w:before="25" w:beforeLines="25" w:after="25" w:afterLines="25"/>
      <w:jc w:val="left"/>
    </w:pPr>
    <w:rPr>
      <w:rFonts w:ascii="宋体"/>
      <w:szCs w:val="21"/>
    </w:rPr>
  </w:style>
  <w:style w:type="paragraph" w:styleId="18">
    <w:name w:val="toc 4"/>
    <w:basedOn w:val="1"/>
    <w:next w:val="1"/>
    <w:semiHidden/>
    <w:qFormat/>
    <w:uiPriority w:val="0"/>
    <w:pPr>
      <w:tabs>
        <w:tab w:val="right" w:leader="dot" w:pos="9241"/>
      </w:tabs>
      <w:ind w:firstLine="200"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0"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uiPriority w:val="0"/>
    <w:pPr>
      <w:tabs>
        <w:tab w:val="right" w:leader="dot" w:pos="9242"/>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semiHidden/>
    <w:uiPriority w:val="0"/>
    <w:rPr>
      <w:vertAlign w:val="superscript"/>
    </w:rPr>
  </w:style>
  <w:style w:type="character" w:styleId="33">
    <w:name w:val="page number"/>
    <w:uiPriority w:val="0"/>
    <w:rPr>
      <w:rFonts w:ascii="Times New Roman" w:hAnsi="Times New Roman" w:eastAsia="宋体"/>
      <w:sz w:val="18"/>
    </w:rPr>
  </w:style>
  <w:style w:type="character" w:styleId="34">
    <w:name w:val="FollowedHyperlink"/>
    <w:uiPriority w:val="0"/>
    <w:rPr>
      <w:color w:val="800080"/>
      <w:u w:val="single"/>
    </w:rPr>
  </w:style>
  <w:style w:type="character" w:styleId="35">
    <w:name w:val="Hyperlink"/>
    <w:uiPriority w:val="0"/>
    <w:rPr>
      <w:color w:val="0000FF"/>
      <w:spacing w:val="0"/>
      <w:w w:val="100"/>
      <w:szCs w:val="21"/>
      <w:u w:val="single"/>
    </w:rPr>
  </w:style>
  <w:style w:type="character" w:styleId="36">
    <w:name w:val="footnote reference"/>
    <w:semiHidden/>
    <w:qFormat/>
    <w:uiPriority w:val="0"/>
    <w:rPr>
      <w:vertAlign w:val="superscript"/>
    </w:r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link w:val="140"/>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9">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link w:val="137"/>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qFormat/>
    <w:uiPriority w:val="0"/>
    <w:pPr>
      <w:numPr>
        <w:ilvl w:val="2"/>
      </w:numPr>
      <w:spacing w:before="50" w:after="50"/>
      <w:outlineLvl w:val="3"/>
    </w:pPr>
  </w:style>
  <w:style w:type="paragraph" w:customStyle="1" w:styleId="43">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uiPriority w:val="0"/>
    <w:pPr>
      <w:numPr>
        <w:ilvl w:val="3"/>
      </w:numPr>
      <w:outlineLvl w:val="4"/>
    </w:pPr>
  </w:style>
  <w:style w:type="paragraph" w:customStyle="1" w:styleId="48">
    <w:name w:val="示例"/>
    <w:next w:val="49"/>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uiPriority w:val="0"/>
    <w:pPr>
      <w:numPr>
        <w:ilvl w:val="4"/>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4">
    <w:name w:val="注×："/>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uiPriority w:val="0"/>
    <w:pPr>
      <w:numPr>
        <w:ilvl w:val="2"/>
        <w:numId w:val="3"/>
      </w:numPr>
    </w:pPr>
    <w:rPr>
      <w:rFonts w:ascii="宋体"/>
      <w:szCs w:val="21"/>
    </w:rPr>
  </w:style>
  <w:style w:type="paragraph" w:customStyle="1" w:styleId="57">
    <w:name w:val="编号列项（三级）"/>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0" w:beforeLines="0" w:after="0" w:afterLines="0"/>
      <w:outlineLvl w:val="9"/>
    </w:pPr>
    <w:rPr>
      <w:rFonts w:ascii="宋体" w:eastAsia="宋体"/>
      <w:sz w:val="18"/>
      <w:szCs w:val="18"/>
    </w:rPr>
  </w:style>
  <w:style w:type="paragraph" w:customStyle="1" w:styleId="59">
    <w:name w:val="二级无"/>
    <w:basedOn w:val="42"/>
    <w:uiPriority w:val="0"/>
    <w:pPr>
      <w:spacing w:before="0" w:beforeLines="0" w:after="0" w:afterLines="0"/>
    </w:pPr>
    <w:rPr>
      <w:rFonts w:ascii="宋体" w:eastAsia="宋体"/>
    </w:rPr>
  </w:style>
  <w:style w:type="paragraph" w:customStyle="1" w:styleId="60">
    <w:name w:val="注：（正文）"/>
    <w:basedOn w:val="53"/>
    <w:next w:val="21"/>
    <w:uiPriority w:val="0"/>
  </w:style>
  <w:style w:type="paragraph" w:customStyle="1" w:styleId="61">
    <w:name w:val="注×：（正文）"/>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2">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uiPriority w:val="0"/>
    <w:pPr>
      <w:jc w:val="left"/>
    </w:pPr>
  </w:style>
  <w:style w:type="paragraph" w:customStyle="1" w:styleId="66">
    <w:name w:val="标准书眉一"/>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uiPriority w:val="0"/>
    <w:rPr>
      <w:rFonts w:ascii="黑体" w:eastAsia="黑体"/>
      <w:spacing w:val="85"/>
      <w:w w:val="100"/>
      <w:position w:val="3"/>
      <w:sz w:val="28"/>
      <w:szCs w:val="28"/>
    </w:rPr>
  </w:style>
  <w:style w:type="paragraph" w:customStyle="1" w:styleId="70">
    <w:name w:val="发布部门"/>
    <w:next w:val="21"/>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uiPriority w:val="0"/>
    <w:pPr>
      <w:framePr w:wrap="around"/>
      <w:spacing w:before="370" w:line="400" w:lineRule="exact"/>
    </w:pPr>
    <w:rPr>
      <w:rFonts w:ascii="Times New Roman"/>
      <w:sz w:val="28"/>
      <w:szCs w:val="28"/>
    </w:rPr>
  </w:style>
  <w:style w:type="paragraph" w:customStyle="1" w:styleId="76">
    <w:name w:val="封面一致性程度标识"/>
    <w:basedOn w:val="75"/>
    <w:uiPriority w:val="0"/>
    <w:pPr>
      <w:framePr w:wrap="around"/>
      <w:spacing w:before="440"/>
    </w:pPr>
    <w:rPr>
      <w:rFonts w:ascii="宋体" w:eastAsia="宋体"/>
    </w:rPr>
  </w:style>
  <w:style w:type="paragraph" w:customStyle="1" w:styleId="77">
    <w:name w:val="封面标准文稿类别"/>
    <w:basedOn w:val="76"/>
    <w:uiPriority w:val="0"/>
    <w:pPr>
      <w:framePr w:wrap="around"/>
      <w:spacing w:after="160" w:line="240" w:lineRule="auto"/>
    </w:pPr>
    <w:rPr>
      <w:sz w:val="24"/>
    </w:rPr>
  </w:style>
  <w:style w:type="paragraph" w:customStyle="1" w:styleId="78">
    <w:name w:val="封面标准文稿编辑信息"/>
    <w:basedOn w:val="77"/>
    <w:uiPriority w:val="0"/>
    <w:pPr>
      <w:framePr w:wrap="around"/>
      <w:spacing w:before="180" w:line="180" w:lineRule="exact"/>
    </w:pPr>
    <w:rPr>
      <w:sz w:val="21"/>
    </w:rPr>
  </w:style>
  <w:style w:type="paragraph" w:customStyle="1" w:styleId="79">
    <w:name w:val="封面正文"/>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3">
    <w:name w:val="附录表标题"/>
    <w:basedOn w:val="1"/>
    <w:next w:val="21"/>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0" w:beforeLines="0" w:after="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qFormat/>
    <w:uiPriority w:val="0"/>
    <w:pPr>
      <w:tabs>
        <w:tab w:val="clear" w:pos="360"/>
      </w:tabs>
      <w:spacing w:before="0" w:beforeLines="0" w:after="0" w:afterLines="0"/>
    </w:pPr>
    <w:rPr>
      <w:rFonts w:ascii="宋体" w:eastAsia="宋体"/>
      <w:szCs w:val="21"/>
    </w:rPr>
  </w:style>
  <w:style w:type="paragraph" w:customStyle="1" w:styleId="9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0" w:beforeLines="0" w:after="0" w:afterLines="0"/>
    </w:pPr>
    <w:rPr>
      <w:rFonts w:ascii="宋体" w:eastAsia="宋体"/>
      <w:szCs w:val="21"/>
    </w:rPr>
  </w:style>
  <w:style w:type="paragraph" w:customStyle="1" w:styleId="9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0" w:beforeLines="0" w:after="0" w:afterLines="0"/>
    </w:pPr>
    <w:rPr>
      <w:rFonts w:ascii="宋体" w:eastAsia="宋体"/>
      <w:szCs w:val="21"/>
    </w:rPr>
  </w:style>
  <w:style w:type="paragraph" w:customStyle="1" w:styleId="98">
    <w:name w:val="附录章标题"/>
    <w:next w:val="21"/>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autoSpaceDN w:val="0"/>
      <w:spacing w:before="50" w:beforeLines="50" w:after="50" w:afterLines="50"/>
      <w:outlineLvl w:val="2"/>
    </w:pPr>
  </w:style>
  <w:style w:type="paragraph" w:customStyle="1" w:styleId="100">
    <w:name w:val="附录一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wrap="around"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wrap="around"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0" w:beforeLines="0" w:after="0" w:afterLines="0"/>
    </w:pPr>
    <w:rPr>
      <w:rFonts w:ascii="宋体" w:eastAsia="宋体"/>
    </w:rPr>
  </w:style>
  <w:style w:type="paragraph" w:customStyle="1" w:styleId="110">
    <w:name w:val="实施日期"/>
    <w:basedOn w:val="71"/>
    <w:qFormat/>
    <w:uiPriority w:val="0"/>
    <w:pPr>
      <w:framePr w:wrap="around" w:vAnchor="page" w:hAnchor="text"/>
      <w:jc w:val="right"/>
    </w:p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lang w:val="en-US" w:eastAsia="zh-CN" w:bidi="ar-SA"/>
    </w:rPr>
  </w:style>
  <w:style w:type="paragraph" w:customStyle="1" w:styleId="114">
    <w:name w:val="四级无"/>
    <w:basedOn w:val="51"/>
    <w:qFormat/>
    <w:uiPriority w:val="0"/>
    <w:pPr>
      <w:spacing w:before="0" w:beforeLines="0" w:after="0" w:afterLines="0"/>
    </w:pPr>
    <w:rPr>
      <w:rFonts w:ascii="宋体" w:eastAsia="宋体"/>
    </w:rPr>
  </w:style>
  <w:style w:type="paragraph" w:customStyle="1" w:styleId="115">
    <w:name w:val="条文脚注"/>
    <w:basedOn w:val="22"/>
    <w:qFormat/>
    <w:uiPriority w:val="0"/>
    <w:pPr>
      <w:numPr>
        <w:numId w:val="0"/>
      </w:numPr>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qFormat/>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uiPriority w:val="0"/>
    <w:pPr>
      <w:spacing w:before="0" w:beforeLines="0" w:after="0" w:afterLines="0"/>
    </w:pPr>
    <w:rPr>
      <w:rFonts w:ascii="宋体" w:eastAsia="宋体"/>
    </w:rPr>
  </w:style>
  <w:style w:type="paragraph" w:customStyle="1" w:styleId="121">
    <w:name w:val="一级无"/>
    <w:basedOn w:val="38"/>
    <w:uiPriority w:val="0"/>
    <w:pPr>
      <w:spacing w:before="0" w:beforeLines="0" w:after="0" w:afterLines="0"/>
    </w:pPr>
    <w:rPr>
      <w:rFonts w:ascii="宋体" w:eastAsia="宋体"/>
    </w:rPr>
  </w:style>
  <w:style w:type="paragraph" w:customStyle="1" w:styleId="122">
    <w:name w:val="正文表标题"/>
    <w:next w:val="21"/>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终结线"/>
    <w:basedOn w:val="1"/>
    <w:uiPriority w:val="0"/>
    <w:pPr>
      <w:framePr w:hSpace="181" w:vSpace="181" w:wrap="around" w:vAnchor="text" w:hAnchor="margin" w:xAlign="center" w:y="285"/>
    </w:pPr>
  </w:style>
  <w:style w:type="paragraph" w:customStyle="1" w:styleId="126">
    <w:name w:val="其他发布日期"/>
    <w:basedOn w:val="71"/>
    <w:uiPriority w:val="0"/>
    <w:pPr>
      <w:framePr w:wrap="around" w:vAnchor="page" w:hAnchor="text" w:x="1419"/>
    </w:pPr>
  </w:style>
  <w:style w:type="paragraph" w:customStyle="1" w:styleId="127">
    <w:name w:val="其他实施日期"/>
    <w:basedOn w:val="110"/>
    <w:uiPriority w:val="0"/>
    <w:pPr>
      <w:framePr w:wrap="around"/>
    </w:pPr>
  </w:style>
  <w:style w:type="paragraph" w:customStyle="1" w:styleId="128">
    <w:name w:val="封面标准名称2"/>
    <w:basedOn w:val="74"/>
    <w:uiPriority w:val="0"/>
    <w:pPr>
      <w:framePr w:wrap="around" w:y="4469"/>
      <w:spacing w:before="630" w:beforeLines="630"/>
    </w:pPr>
  </w:style>
  <w:style w:type="paragraph" w:customStyle="1" w:styleId="129">
    <w:name w:val="封面标准英文名称2"/>
    <w:basedOn w:val="75"/>
    <w:uiPriority w:val="0"/>
    <w:pPr>
      <w:framePr w:wrap="around" w:y="4469"/>
    </w:pPr>
  </w:style>
  <w:style w:type="paragraph" w:customStyle="1" w:styleId="130">
    <w:name w:val="封面一致性程度标识2"/>
    <w:basedOn w:val="76"/>
    <w:uiPriority w:val="0"/>
    <w:pPr>
      <w:framePr w:wrap="around" w:y="4469"/>
    </w:pPr>
  </w:style>
  <w:style w:type="paragraph" w:customStyle="1" w:styleId="131">
    <w:name w:val="封面标准文稿类别2"/>
    <w:basedOn w:val="77"/>
    <w:uiPriority w:val="0"/>
    <w:pPr>
      <w:framePr w:wrap="around" w:y="4469"/>
    </w:pPr>
  </w:style>
  <w:style w:type="paragraph" w:customStyle="1" w:styleId="132">
    <w:name w:val="封面标准文稿编辑信息2"/>
    <w:basedOn w:val="78"/>
    <w:uiPriority w:val="0"/>
    <w:pPr>
      <w:framePr w:wrap="around" w:y="4469"/>
    </w:pPr>
  </w:style>
  <w:style w:type="character" w:customStyle="1" w:styleId="133">
    <w:name w:val="标准文件_段 Char"/>
    <w:link w:val="134"/>
    <w:qFormat/>
    <w:uiPriority w:val="0"/>
    <w:rPr>
      <w:rFonts w:ascii="宋体"/>
      <w:sz w:val="21"/>
    </w:rPr>
  </w:style>
  <w:style w:type="paragraph" w:customStyle="1" w:styleId="134">
    <w:name w:val="标准文件_段"/>
    <w:link w:val="13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5">
    <w:name w:val="章"/>
    <w:basedOn w:val="2"/>
    <w:qFormat/>
    <w:uiPriority w:val="0"/>
    <w:pPr>
      <w:spacing w:line="410" w:lineRule="auto"/>
    </w:pPr>
    <w:rPr>
      <w:rFonts w:eastAsia="黑体"/>
      <w:b w:val="0"/>
      <w:sz w:val="21"/>
    </w:rPr>
  </w:style>
  <w:style w:type="character" w:customStyle="1" w:styleId="136">
    <w:name w:val="标题 3 字符"/>
    <w:link w:val="2"/>
    <w:semiHidden/>
    <w:uiPriority w:val="0"/>
    <w:rPr>
      <w:b/>
      <w:bCs/>
      <w:kern w:val="2"/>
      <w:sz w:val="32"/>
      <w:szCs w:val="32"/>
    </w:rPr>
  </w:style>
  <w:style w:type="character" w:customStyle="1" w:styleId="137">
    <w:name w:val="章标题 Char Char"/>
    <w:link w:val="41"/>
    <w:uiPriority w:val="0"/>
    <w:rPr>
      <w:rFonts w:ascii="黑体" w:eastAsia="黑体"/>
      <w:sz w:val="21"/>
    </w:rPr>
  </w:style>
  <w:style w:type="paragraph" w:customStyle="1" w:styleId="138">
    <w:name w:val="条2"/>
    <w:basedOn w:val="1"/>
    <w:next w:val="21"/>
    <w:qFormat/>
    <w:uiPriority w:val="0"/>
    <w:pPr>
      <w:spacing w:after="160" w:line="278" w:lineRule="auto"/>
      <w:outlineLvl w:val="1"/>
    </w:pPr>
    <w:rPr>
      <w:rFonts w:hint="eastAsia" w:ascii="黑体" w:eastAsia="黑体"/>
      <w:kern w:val="21"/>
    </w:rPr>
  </w:style>
  <w:style w:type="paragraph" w:customStyle="1" w:styleId="139">
    <w:name w:val="附录章"/>
    <w:basedOn w:val="1"/>
    <w:next w:val="1"/>
    <w:qFormat/>
    <w:uiPriority w:val="0"/>
    <w:pPr>
      <w:numPr>
        <w:ilvl w:val="1"/>
        <w:numId w:val="18"/>
      </w:numPr>
      <w:adjustRightInd w:val="0"/>
      <w:spacing w:before="160" w:after="160" w:line="278" w:lineRule="auto"/>
      <w:outlineLvl w:val="0"/>
    </w:pPr>
    <w:rPr>
      <w:rFonts w:hint="eastAsia" w:ascii="黑体" w:eastAsia="黑体"/>
      <w:kern w:val="21"/>
      <w:szCs w:val="18"/>
    </w:rPr>
  </w:style>
  <w:style w:type="character" w:customStyle="1" w:styleId="140">
    <w:name w:val="一级条标题 Char"/>
    <w:link w:val="38"/>
    <w:qFormat/>
    <w:uiPriority w:val="0"/>
    <w:rPr>
      <w:rFonts w:ascii="黑体" w:eastAsia="黑体"/>
      <w:sz w:val="21"/>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79DF88-9519-4973-AD97-5B1D2D3F6BED}">
  <ds:schemaRefs/>
</ds:datastoreItem>
</file>

<file path=docProps/app.xml><?xml version="1.0" encoding="utf-8"?>
<Properties xmlns="http://schemas.openxmlformats.org/officeDocument/2006/extended-properties" xmlns:vt="http://schemas.openxmlformats.org/officeDocument/2006/docPropsVTypes">
  <Template>Normal.dotm</Template>
  <Pages>7</Pages>
  <Words>615</Words>
  <Characters>3507</Characters>
  <Lines>29</Lines>
  <Paragraphs>8</Paragraphs>
  <TotalTime>7</TotalTime>
  <ScaleCrop>false</ScaleCrop>
  <LinksUpToDate>false</LinksUpToDate>
  <CharactersWithSpaces>4114</CharactersWithSpaces>
  <Application>WPS Office_11.8.6.11830_F1E327BC-269C-435d-A152-05C5408002CA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2024-12-05T03:32:00Z</dcterms:created>
  <dc:creator>CNIS</dc:creator>
  <cp:lastModifiedBy>尉勤</cp:lastModifiedBy>
  <dcterms:modified xsi:type="dcterms:W3CDTF">2025-04-08T05:47:57Z</dcterms:modified>
  <dc:title>标准名称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2052-11.8.6.11830</vt:lpwstr>
  </property>
  <property fmtid="{D5CDD505-2E9C-101B-9397-08002B2CF9AE}" pid="3" name="ICV">
    <vt:lpwstr>6D43799622A9407D9BE9256D516C9841</vt:lpwstr>
  </property>
</Properties>
</file>